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8A6" w:rsidRPr="007A5862" w:rsidRDefault="00745EFD" w:rsidP="00627005">
      <w:pPr>
        <w:pStyle w:val="NoSpacing"/>
        <w:jc w:val="both"/>
        <w:rPr>
          <w:rFonts w:ascii="Arial" w:hAnsi="Arial" w:cs="Arial"/>
          <w:b/>
          <w:u w:val="single"/>
        </w:rPr>
      </w:pPr>
    </w:p>
    <w:p w:rsidR="003C08A6" w:rsidRPr="00745EFD" w:rsidRDefault="00745EFD" w:rsidP="00627005">
      <w:pPr>
        <w:pStyle w:val="NoSpacing"/>
        <w:jc w:val="both"/>
        <w:rPr>
          <w:rFonts w:ascii="Arial" w:hAnsi="Arial" w:cs="Arial"/>
          <w:b/>
        </w:rPr>
      </w:pPr>
    </w:p>
    <w:p w:rsidR="00745EFD" w:rsidRPr="00745EFD" w:rsidRDefault="00745EFD" w:rsidP="00627005">
      <w:pPr>
        <w:pStyle w:val="NoSpacing"/>
        <w:jc w:val="both"/>
        <w:rPr>
          <w:rFonts w:ascii="Arial" w:hAnsi="Arial" w:cs="Arial"/>
          <w:b/>
        </w:rPr>
      </w:pPr>
      <w:r w:rsidRPr="00745EFD">
        <w:rPr>
          <w:rFonts w:ascii="Arial" w:hAnsi="Arial" w:cs="Arial"/>
          <w:b/>
        </w:rPr>
        <w:t>Appendix 'G'</w:t>
      </w:r>
    </w:p>
    <w:p w:rsidR="00745EFD" w:rsidRDefault="00745EFD" w:rsidP="00627005">
      <w:pPr>
        <w:pStyle w:val="NoSpacing"/>
        <w:jc w:val="both"/>
        <w:rPr>
          <w:rFonts w:ascii="Arial" w:hAnsi="Arial" w:cs="Arial"/>
          <w:b/>
          <w:u w:val="single"/>
        </w:rPr>
      </w:pPr>
    </w:p>
    <w:p w:rsidR="00AB3B95" w:rsidRPr="007A5862" w:rsidRDefault="009B02D4" w:rsidP="00627005">
      <w:pPr>
        <w:pStyle w:val="NoSpacing"/>
        <w:jc w:val="both"/>
        <w:rPr>
          <w:rFonts w:ascii="Arial" w:hAnsi="Arial" w:cs="Arial"/>
          <w:b/>
          <w:u w:val="single"/>
        </w:rPr>
      </w:pPr>
      <w:r w:rsidRPr="007A5862">
        <w:rPr>
          <w:rFonts w:ascii="Arial" w:hAnsi="Arial" w:cs="Arial"/>
          <w:b/>
          <w:u w:val="single"/>
        </w:rPr>
        <w:t>LEP – Growth Deal Programme – Lead Anne-Marie Parkinson</w:t>
      </w:r>
    </w:p>
    <w:p w:rsidR="00513D5F" w:rsidRPr="007A5862" w:rsidRDefault="00745EFD" w:rsidP="00627005">
      <w:pPr>
        <w:pStyle w:val="NoSpacing"/>
        <w:jc w:val="both"/>
        <w:rPr>
          <w:rFonts w:ascii="Arial" w:hAnsi="Arial" w:cs="Arial"/>
        </w:rPr>
      </w:pPr>
    </w:p>
    <w:p w:rsidR="00FE4F07" w:rsidRPr="007A5862" w:rsidRDefault="009B02D4" w:rsidP="00627005">
      <w:pPr>
        <w:pStyle w:val="NoSpacing"/>
        <w:jc w:val="both"/>
        <w:rPr>
          <w:rFonts w:ascii="Arial" w:hAnsi="Arial" w:cs="Arial"/>
          <w:b/>
          <w:i/>
        </w:rPr>
      </w:pPr>
      <w:r w:rsidRPr="007A5862">
        <w:rPr>
          <w:rFonts w:ascii="Arial" w:hAnsi="Arial" w:cs="Arial"/>
          <w:b/>
          <w:i/>
        </w:rPr>
        <w:t>Background</w:t>
      </w:r>
    </w:p>
    <w:p w:rsidR="00513D5F" w:rsidRPr="007A5862" w:rsidRDefault="00745EFD" w:rsidP="00627005">
      <w:pPr>
        <w:pStyle w:val="NoSpacing"/>
        <w:jc w:val="both"/>
        <w:rPr>
          <w:rFonts w:ascii="Arial" w:hAnsi="Arial" w:cs="Arial"/>
        </w:rPr>
      </w:pPr>
      <w:bookmarkStart w:id="0" w:name="_GoBack"/>
      <w:bookmarkEnd w:id="0"/>
    </w:p>
    <w:p w:rsidR="007A5862" w:rsidRDefault="009B02D4" w:rsidP="00627005">
      <w:pPr>
        <w:pStyle w:val="NoSpacing"/>
        <w:jc w:val="both"/>
        <w:rPr>
          <w:rFonts w:ascii="Arial" w:hAnsi="Arial" w:cs="Arial"/>
          <w:color w:val="0B0C0C"/>
        </w:rPr>
      </w:pPr>
      <w:r>
        <w:rPr>
          <w:rFonts w:ascii="Arial" w:hAnsi="Arial" w:cs="Arial"/>
          <w:color w:val="0B0C0C"/>
        </w:rPr>
        <w:t>The Getting Building Fund is a £</w:t>
      </w:r>
      <w:r w:rsidRPr="007A5862">
        <w:rPr>
          <w:rFonts w:ascii="Arial" w:hAnsi="Arial" w:cs="Arial"/>
          <w:color w:val="0B0C0C"/>
        </w:rPr>
        <w:t xml:space="preserve">900 million </w:t>
      </w:r>
      <w:r>
        <w:rPr>
          <w:rFonts w:ascii="Arial" w:hAnsi="Arial" w:cs="Arial"/>
          <w:color w:val="0B0C0C"/>
        </w:rPr>
        <w:t xml:space="preserve">government programme </w:t>
      </w:r>
      <w:r w:rsidRPr="007A5862">
        <w:rPr>
          <w:rFonts w:ascii="Arial" w:hAnsi="Arial" w:cs="Arial"/>
          <w:color w:val="0B0C0C"/>
        </w:rPr>
        <w:t xml:space="preserve">to deliver jobs, skills and infrastructure across the country. This investment is targeted in areas facing the biggest economic challenges as a result of the pandemic. It is supporting the delivery of shovel-ready infrastructure projects, agreed with </w:t>
      </w:r>
      <w:r>
        <w:rPr>
          <w:rFonts w:ascii="Arial" w:hAnsi="Arial" w:cs="Arial"/>
          <w:color w:val="0B0C0C"/>
        </w:rPr>
        <w:t>Mayoral Combined Authorities</w:t>
      </w:r>
      <w:r w:rsidRPr="007A5862">
        <w:rPr>
          <w:rFonts w:ascii="Arial" w:hAnsi="Arial" w:cs="Arial"/>
          <w:color w:val="0B0C0C"/>
        </w:rPr>
        <w:t xml:space="preserve"> and Local Enterprise Partnerships to boost economic growth, and fuel local recovery and jobs.</w:t>
      </w:r>
    </w:p>
    <w:p w:rsidR="007A5862" w:rsidRDefault="00745EFD" w:rsidP="00627005">
      <w:pPr>
        <w:pStyle w:val="NoSpacing"/>
        <w:jc w:val="both"/>
        <w:rPr>
          <w:rFonts w:ascii="Arial" w:hAnsi="Arial" w:cs="Arial"/>
          <w:color w:val="0B0C0C"/>
        </w:rPr>
      </w:pPr>
    </w:p>
    <w:p w:rsidR="00E565D4" w:rsidRDefault="009B02D4" w:rsidP="00627005">
      <w:pPr>
        <w:pStyle w:val="NoSpacing"/>
        <w:jc w:val="both"/>
        <w:rPr>
          <w:rFonts w:ascii="Arial" w:hAnsi="Arial" w:cs="Arial"/>
        </w:rPr>
      </w:pPr>
      <w:r>
        <w:rPr>
          <w:rFonts w:ascii="Arial" w:hAnsi="Arial" w:cs="Arial"/>
        </w:rPr>
        <w:t xml:space="preserve">In August 2020, government announced a funding allocation of £34.1m to Lancashire LEP from the Getting Building Fund. Following the announcement government undertook a review of the schemes submitted by the Lancashire LEP, where in agreement with the LEP the £34.1m was allocated to ten projects. </w:t>
      </w:r>
    </w:p>
    <w:p w:rsidR="00E565D4" w:rsidRDefault="00745EFD" w:rsidP="00627005">
      <w:pPr>
        <w:pStyle w:val="NoSpacing"/>
        <w:jc w:val="both"/>
        <w:rPr>
          <w:rFonts w:ascii="Arial" w:hAnsi="Arial" w:cs="Arial"/>
        </w:rPr>
      </w:pPr>
    </w:p>
    <w:p w:rsidR="00826734" w:rsidRDefault="009B02D4" w:rsidP="00627005">
      <w:pPr>
        <w:pStyle w:val="NoSpacing"/>
        <w:jc w:val="both"/>
        <w:rPr>
          <w:rFonts w:ascii="Arial" w:hAnsi="Arial" w:cs="Arial"/>
          <w:b/>
          <w:i/>
        </w:rPr>
      </w:pPr>
      <w:r w:rsidRPr="008B02F2">
        <w:rPr>
          <w:rFonts w:ascii="Arial" w:hAnsi="Arial" w:cs="Arial"/>
          <w:b/>
          <w:i/>
        </w:rPr>
        <w:t>Governance</w:t>
      </w:r>
    </w:p>
    <w:p w:rsidR="00826734" w:rsidRDefault="00745EFD" w:rsidP="00627005">
      <w:pPr>
        <w:pStyle w:val="NoSpacing"/>
        <w:jc w:val="both"/>
        <w:rPr>
          <w:rFonts w:ascii="Arial" w:hAnsi="Arial" w:cs="Arial"/>
          <w:b/>
          <w:i/>
        </w:rPr>
      </w:pPr>
    </w:p>
    <w:p w:rsidR="00666F5D" w:rsidRDefault="009B02D4" w:rsidP="00627005">
      <w:pPr>
        <w:pStyle w:val="NoSpacing"/>
        <w:jc w:val="both"/>
        <w:rPr>
          <w:rFonts w:ascii="Arial" w:hAnsi="Arial" w:cs="Arial"/>
        </w:rPr>
      </w:pPr>
      <w:r>
        <w:rPr>
          <w:rFonts w:ascii="Arial" w:hAnsi="Arial" w:cs="Arial"/>
        </w:rPr>
        <w:t xml:space="preserve">Subject to the contents of the funding offer letter expected from government later this month, the processes to manage the funds allocated to this programme will reflect those in place for the Growth Deal programme. The management of the Growth Deal programme has been highly regarded by CLG, both at the 'Deep Dive' and two previous 'Annual Performance Reviews'. In addition, the processes are fully compliant with the LEP Assurance Framework. </w:t>
      </w:r>
    </w:p>
    <w:p w:rsidR="00666F5D" w:rsidRDefault="00745EFD" w:rsidP="00627005">
      <w:pPr>
        <w:pStyle w:val="NoSpacing"/>
        <w:jc w:val="both"/>
        <w:rPr>
          <w:rFonts w:ascii="Arial" w:hAnsi="Arial" w:cs="Arial"/>
        </w:rPr>
      </w:pPr>
    </w:p>
    <w:p w:rsidR="00630CE8" w:rsidRDefault="009B02D4" w:rsidP="00627005">
      <w:pPr>
        <w:pStyle w:val="NoSpacing"/>
        <w:jc w:val="both"/>
        <w:rPr>
          <w:rFonts w:ascii="Arial" w:hAnsi="Arial" w:cs="Arial"/>
        </w:rPr>
      </w:pPr>
      <w:r>
        <w:rPr>
          <w:rFonts w:ascii="Arial" w:hAnsi="Arial" w:cs="Arial"/>
        </w:rPr>
        <w:t>Processes include:</w:t>
      </w:r>
    </w:p>
    <w:p w:rsidR="00630CE8" w:rsidRDefault="00745EFD" w:rsidP="00627005">
      <w:pPr>
        <w:pStyle w:val="NoSpacing"/>
        <w:jc w:val="both"/>
        <w:rPr>
          <w:rFonts w:ascii="Arial" w:hAnsi="Arial" w:cs="Arial"/>
        </w:rPr>
      </w:pPr>
    </w:p>
    <w:p w:rsidR="00630CE8" w:rsidRDefault="009B02D4" w:rsidP="00627005">
      <w:pPr>
        <w:pStyle w:val="NoSpacing"/>
        <w:numPr>
          <w:ilvl w:val="0"/>
          <w:numId w:val="8"/>
        </w:numPr>
        <w:jc w:val="both"/>
        <w:rPr>
          <w:rFonts w:ascii="Arial" w:hAnsi="Arial" w:cs="Arial"/>
        </w:rPr>
      </w:pPr>
      <w:r>
        <w:rPr>
          <w:rFonts w:ascii="Arial" w:hAnsi="Arial" w:cs="Arial"/>
        </w:rPr>
        <w:t>Allocation of funds to projects – Agreed by government.</w:t>
      </w:r>
    </w:p>
    <w:p w:rsidR="00630CE8" w:rsidRDefault="009B02D4" w:rsidP="00ED3C78">
      <w:pPr>
        <w:pStyle w:val="NoSpacing"/>
        <w:numPr>
          <w:ilvl w:val="0"/>
          <w:numId w:val="8"/>
        </w:numPr>
        <w:jc w:val="both"/>
        <w:rPr>
          <w:rFonts w:ascii="Arial" w:hAnsi="Arial" w:cs="Arial"/>
        </w:rPr>
      </w:pPr>
      <w:r>
        <w:rPr>
          <w:rFonts w:ascii="Arial" w:hAnsi="Arial" w:cs="Arial"/>
        </w:rPr>
        <w:t xml:space="preserve">Applicant provides to the LEP a project </w:t>
      </w:r>
      <w:r w:rsidRPr="00ED3C78">
        <w:rPr>
          <w:rFonts w:ascii="Arial" w:hAnsi="Arial" w:cs="Arial"/>
        </w:rPr>
        <w:t>HM</w:t>
      </w:r>
      <w:r>
        <w:rPr>
          <w:rFonts w:ascii="Arial" w:hAnsi="Arial" w:cs="Arial"/>
        </w:rPr>
        <w:t>T</w:t>
      </w:r>
      <w:r w:rsidRPr="00ED3C78">
        <w:rPr>
          <w:rFonts w:ascii="Arial" w:hAnsi="Arial" w:cs="Arial"/>
        </w:rPr>
        <w:t xml:space="preserve"> Green Book</w:t>
      </w:r>
      <w:r>
        <w:rPr>
          <w:rFonts w:ascii="Arial" w:hAnsi="Arial" w:cs="Arial"/>
        </w:rPr>
        <w:t xml:space="preserve"> Five Case Model Business Case.</w:t>
      </w:r>
    </w:p>
    <w:p w:rsidR="00630CE8" w:rsidRDefault="009B02D4" w:rsidP="00627005">
      <w:pPr>
        <w:pStyle w:val="NoSpacing"/>
        <w:numPr>
          <w:ilvl w:val="0"/>
          <w:numId w:val="8"/>
        </w:numPr>
        <w:jc w:val="both"/>
        <w:rPr>
          <w:rFonts w:ascii="Arial" w:hAnsi="Arial" w:cs="Arial"/>
        </w:rPr>
      </w:pPr>
      <w:r>
        <w:rPr>
          <w:rFonts w:ascii="Arial" w:hAnsi="Arial" w:cs="Arial"/>
        </w:rPr>
        <w:t>LEP Commission Independent Assurance of the Business Case.</w:t>
      </w:r>
    </w:p>
    <w:p w:rsidR="00630CE8" w:rsidRDefault="009B02D4" w:rsidP="00627005">
      <w:pPr>
        <w:pStyle w:val="NoSpacing"/>
        <w:numPr>
          <w:ilvl w:val="0"/>
          <w:numId w:val="8"/>
        </w:numPr>
        <w:jc w:val="both"/>
        <w:rPr>
          <w:rFonts w:ascii="Arial" w:hAnsi="Arial" w:cs="Arial"/>
        </w:rPr>
      </w:pPr>
      <w:r>
        <w:rPr>
          <w:rFonts w:ascii="Arial" w:hAnsi="Arial" w:cs="Arial"/>
        </w:rPr>
        <w:t>Presentation of project to the LEP Board to seek funding approval (subject to positive assurance recommendation).</w:t>
      </w:r>
    </w:p>
    <w:p w:rsidR="00630CE8" w:rsidRDefault="009B02D4" w:rsidP="00627005">
      <w:pPr>
        <w:pStyle w:val="NoSpacing"/>
        <w:numPr>
          <w:ilvl w:val="0"/>
          <w:numId w:val="8"/>
        </w:numPr>
        <w:jc w:val="both"/>
        <w:rPr>
          <w:rFonts w:ascii="Arial" w:hAnsi="Arial" w:cs="Arial"/>
        </w:rPr>
      </w:pPr>
      <w:r>
        <w:rPr>
          <w:rFonts w:ascii="Arial" w:hAnsi="Arial" w:cs="Arial"/>
        </w:rPr>
        <w:t>Complete Grant Funding Agreement (same conditions / clauses as Growth Deal).</w:t>
      </w:r>
    </w:p>
    <w:p w:rsidR="00ED3C78" w:rsidRDefault="009B02D4" w:rsidP="00627005">
      <w:pPr>
        <w:pStyle w:val="NoSpacing"/>
        <w:numPr>
          <w:ilvl w:val="0"/>
          <w:numId w:val="8"/>
        </w:numPr>
        <w:jc w:val="both"/>
        <w:rPr>
          <w:rFonts w:ascii="Arial" w:hAnsi="Arial" w:cs="Arial"/>
        </w:rPr>
      </w:pPr>
      <w:r>
        <w:rPr>
          <w:rFonts w:ascii="Arial" w:hAnsi="Arial" w:cs="Arial"/>
        </w:rPr>
        <w:t>Project applicant submits quarterly reporting / claims to the LEP.</w:t>
      </w:r>
    </w:p>
    <w:p w:rsidR="00630CE8" w:rsidRDefault="009B02D4" w:rsidP="00627005">
      <w:pPr>
        <w:pStyle w:val="NoSpacing"/>
        <w:numPr>
          <w:ilvl w:val="0"/>
          <w:numId w:val="8"/>
        </w:numPr>
        <w:jc w:val="both"/>
        <w:rPr>
          <w:rFonts w:ascii="Arial" w:hAnsi="Arial" w:cs="Arial"/>
        </w:rPr>
      </w:pPr>
      <w:r>
        <w:rPr>
          <w:rFonts w:ascii="Arial" w:hAnsi="Arial" w:cs="Arial"/>
        </w:rPr>
        <w:t xml:space="preserve">Upon completion of the project and all associated outcomes, a Project Exit Report is completed, which formally evaluates and closes the project.  </w:t>
      </w:r>
    </w:p>
    <w:p w:rsidR="00630CE8" w:rsidRDefault="00745EFD" w:rsidP="00627005">
      <w:pPr>
        <w:pStyle w:val="NoSpacing"/>
        <w:jc w:val="both"/>
        <w:rPr>
          <w:rFonts w:ascii="Arial" w:hAnsi="Arial" w:cs="Arial"/>
        </w:rPr>
      </w:pPr>
    </w:p>
    <w:p w:rsidR="00630CE8" w:rsidRDefault="009B02D4" w:rsidP="00627005">
      <w:pPr>
        <w:pStyle w:val="NoSpacing"/>
        <w:jc w:val="both"/>
        <w:rPr>
          <w:rFonts w:ascii="Arial" w:hAnsi="Arial" w:cs="Arial"/>
        </w:rPr>
      </w:pPr>
      <w:r>
        <w:rPr>
          <w:rFonts w:ascii="Arial" w:hAnsi="Arial" w:cs="Arial"/>
        </w:rPr>
        <w:t>Due to the time constraints of the programme, with projects requiring to commence activity immediately in order to achieve the financial completion date of March 2022, the following two processes have been streamlined, making significant time and cost saving efficiencies.</w:t>
      </w:r>
    </w:p>
    <w:p w:rsidR="00630CE8" w:rsidRDefault="00745EFD" w:rsidP="00627005">
      <w:pPr>
        <w:pStyle w:val="NoSpacing"/>
        <w:jc w:val="both"/>
        <w:rPr>
          <w:rFonts w:ascii="Arial" w:hAnsi="Arial" w:cs="Arial"/>
        </w:rPr>
      </w:pPr>
    </w:p>
    <w:p w:rsidR="00ED6C13" w:rsidRDefault="009B02D4" w:rsidP="00627005">
      <w:pPr>
        <w:pStyle w:val="NoSpacing"/>
        <w:numPr>
          <w:ilvl w:val="0"/>
          <w:numId w:val="9"/>
        </w:numPr>
        <w:jc w:val="both"/>
        <w:rPr>
          <w:rFonts w:ascii="Arial" w:hAnsi="Arial" w:cs="Arial"/>
        </w:rPr>
      </w:pPr>
      <w:r>
        <w:rPr>
          <w:rFonts w:ascii="Arial" w:hAnsi="Arial" w:cs="Arial"/>
        </w:rPr>
        <w:t xml:space="preserve">Recommendation of Funding Approval - </w:t>
      </w:r>
      <w:r w:rsidRPr="00ED6C13">
        <w:rPr>
          <w:rFonts w:ascii="Arial" w:hAnsi="Arial" w:cs="Arial"/>
        </w:rPr>
        <w:t xml:space="preserve">The recommendation </w:t>
      </w:r>
      <w:r>
        <w:rPr>
          <w:rFonts w:ascii="Arial" w:hAnsi="Arial" w:cs="Arial"/>
        </w:rPr>
        <w:t xml:space="preserve">to the LEP Board </w:t>
      </w:r>
      <w:r w:rsidRPr="00ED6C13">
        <w:rPr>
          <w:rFonts w:ascii="Arial" w:hAnsi="Arial" w:cs="Arial"/>
        </w:rPr>
        <w:t>will be made by the LEP Investment Programme Manager</w:t>
      </w:r>
      <w:r>
        <w:rPr>
          <w:rFonts w:ascii="Arial" w:hAnsi="Arial" w:cs="Arial"/>
        </w:rPr>
        <w:t xml:space="preserve">, </w:t>
      </w:r>
      <w:r w:rsidRPr="00ED6C13">
        <w:rPr>
          <w:rFonts w:ascii="Arial" w:hAnsi="Arial" w:cs="Arial"/>
        </w:rPr>
        <w:t xml:space="preserve">as opposed to </w:t>
      </w:r>
      <w:r>
        <w:rPr>
          <w:rFonts w:ascii="Arial" w:hAnsi="Arial" w:cs="Arial"/>
        </w:rPr>
        <w:t xml:space="preserve">a recommendation </w:t>
      </w:r>
      <w:r w:rsidRPr="00ED6C13">
        <w:rPr>
          <w:rFonts w:ascii="Arial" w:hAnsi="Arial" w:cs="Arial"/>
        </w:rPr>
        <w:t xml:space="preserve">by a sub-committee </w:t>
      </w:r>
      <w:r>
        <w:rPr>
          <w:rFonts w:ascii="Arial" w:hAnsi="Arial" w:cs="Arial"/>
        </w:rPr>
        <w:t>of the LEP. Prior to making a funding decision the LEP Board will receive an introduction to each project, so that members are fully aware of the project detail, and are able to seek clarifications as required. The LEP Board will be fully informed of any associated risks and appropriate mitigation.</w:t>
      </w:r>
    </w:p>
    <w:p w:rsidR="00630CE8" w:rsidRDefault="009B02D4" w:rsidP="00627005">
      <w:pPr>
        <w:pStyle w:val="NoSpacing"/>
        <w:numPr>
          <w:ilvl w:val="0"/>
          <w:numId w:val="9"/>
        </w:numPr>
        <w:jc w:val="both"/>
        <w:rPr>
          <w:rFonts w:ascii="Arial" w:hAnsi="Arial" w:cs="Arial"/>
        </w:rPr>
      </w:pPr>
      <w:r w:rsidRPr="00ED6C13">
        <w:rPr>
          <w:rFonts w:ascii="Arial" w:hAnsi="Arial" w:cs="Arial"/>
        </w:rPr>
        <w:t xml:space="preserve">Independent Assurance </w:t>
      </w:r>
      <w:r>
        <w:rPr>
          <w:rFonts w:ascii="Arial" w:hAnsi="Arial" w:cs="Arial"/>
        </w:rPr>
        <w:t xml:space="preserve">– Whilst the independent assurance </w:t>
      </w:r>
      <w:r w:rsidRPr="00ED6C13">
        <w:rPr>
          <w:rFonts w:ascii="Arial" w:hAnsi="Arial" w:cs="Arial"/>
        </w:rPr>
        <w:t xml:space="preserve">will consider all </w:t>
      </w:r>
      <w:r>
        <w:rPr>
          <w:rFonts w:ascii="Arial" w:hAnsi="Arial" w:cs="Arial"/>
        </w:rPr>
        <w:t xml:space="preserve">five </w:t>
      </w:r>
      <w:r w:rsidRPr="00ED6C13">
        <w:rPr>
          <w:rFonts w:ascii="Arial" w:hAnsi="Arial" w:cs="Arial"/>
        </w:rPr>
        <w:t xml:space="preserve">cases within each business case, </w:t>
      </w:r>
      <w:r>
        <w:rPr>
          <w:rFonts w:ascii="Arial" w:hAnsi="Arial" w:cs="Arial"/>
        </w:rPr>
        <w:t xml:space="preserve">the </w:t>
      </w:r>
      <w:r w:rsidRPr="00ED6C13">
        <w:rPr>
          <w:rFonts w:ascii="Arial" w:hAnsi="Arial" w:cs="Arial"/>
        </w:rPr>
        <w:t xml:space="preserve">focus </w:t>
      </w:r>
      <w:r>
        <w:rPr>
          <w:rFonts w:ascii="Arial" w:hAnsi="Arial" w:cs="Arial"/>
        </w:rPr>
        <w:t xml:space="preserve">and findings will be on the </w:t>
      </w:r>
      <w:r w:rsidRPr="00ED6C13">
        <w:rPr>
          <w:rFonts w:ascii="Arial" w:hAnsi="Arial" w:cs="Arial"/>
        </w:rPr>
        <w:t xml:space="preserve">'Economic' and 'Management' Cases, given these are the core criteria for the call (deliverability and VFM).  </w:t>
      </w:r>
      <w:r>
        <w:rPr>
          <w:rFonts w:ascii="Arial" w:hAnsi="Arial" w:cs="Arial"/>
        </w:rPr>
        <w:t>All cases will be scrutinised by LEP Officers as appropriate.</w:t>
      </w:r>
      <w:r w:rsidRPr="00ED6C13">
        <w:rPr>
          <w:rFonts w:ascii="Arial" w:hAnsi="Arial" w:cs="Arial"/>
        </w:rPr>
        <w:t xml:space="preserve"> </w:t>
      </w:r>
    </w:p>
    <w:p w:rsidR="008D2623" w:rsidRDefault="00745EFD" w:rsidP="00627005">
      <w:pPr>
        <w:pStyle w:val="NoSpacing"/>
        <w:jc w:val="both"/>
        <w:rPr>
          <w:rFonts w:ascii="Arial" w:hAnsi="Arial" w:cs="Arial"/>
        </w:rPr>
      </w:pPr>
    </w:p>
    <w:p w:rsidR="00627005" w:rsidRDefault="009B02D4" w:rsidP="00627005">
      <w:pPr>
        <w:pStyle w:val="NoSpacing"/>
        <w:jc w:val="both"/>
        <w:rPr>
          <w:rFonts w:ascii="Arial" w:hAnsi="Arial" w:cs="Arial"/>
          <w:b/>
          <w:i/>
        </w:rPr>
      </w:pPr>
      <w:r>
        <w:rPr>
          <w:rFonts w:ascii="Arial" w:hAnsi="Arial" w:cs="Arial"/>
          <w:b/>
          <w:i/>
        </w:rPr>
        <w:t>Performance</w:t>
      </w:r>
    </w:p>
    <w:p w:rsidR="00627005" w:rsidRDefault="00745EFD" w:rsidP="00627005">
      <w:pPr>
        <w:pStyle w:val="NoSpacing"/>
        <w:jc w:val="both"/>
        <w:rPr>
          <w:rFonts w:ascii="Arial" w:hAnsi="Arial" w:cs="Arial"/>
          <w:b/>
          <w:i/>
        </w:rPr>
      </w:pPr>
    </w:p>
    <w:p w:rsidR="00826734" w:rsidRPr="00627005" w:rsidRDefault="009B02D4" w:rsidP="00627005">
      <w:pPr>
        <w:pStyle w:val="NoSpacing"/>
        <w:jc w:val="both"/>
        <w:rPr>
          <w:rFonts w:ascii="Arial" w:hAnsi="Arial" w:cs="Arial"/>
          <w:u w:val="single"/>
        </w:rPr>
      </w:pPr>
      <w:r w:rsidRPr="00627005">
        <w:rPr>
          <w:rFonts w:ascii="Arial" w:hAnsi="Arial" w:cs="Arial"/>
          <w:u w:val="single"/>
        </w:rPr>
        <w:t>Delivery</w:t>
      </w:r>
    </w:p>
    <w:p w:rsidR="00826734" w:rsidRDefault="00745EFD" w:rsidP="00627005">
      <w:pPr>
        <w:pStyle w:val="NoSpacing"/>
        <w:jc w:val="both"/>
        <w:rPr>
          <w:rFonts w:ascii="Arial" w:hAnsi="Arial" w:cs="Arial"/>
          <w:b/>
          <w:i/>
        </w:rPr>
      </w:pPr>
    </w:p>
    <w:p w:rsidR="00627005" w:rsidRDefault="009B02D4" w:rsidP="00627005">
      <w:pPr>
        <w:pStyle w:val="NoSpacing"/>
        <w:jc w:val="both"/>
        <w:rPr>
          <w:rFonts w:ascii="Arial" w:hAnsi="Arial" w:cs="Arial"/>
        </w:rPr>
      </w:pPr>
      <w:r>
        <w:rPr>
          <w:rFonts w:ascii="Arial" w:hAnsi="Arial" w:cs="Arial"/>
        </w:rPr>
        <w:t>In terms of progress to date:</w:t>
      </w:r>
    </w:p>
    <w:p w:rsidR="00627005" w:rsidRDefault="00745EFD" w:rsidP="00627005">
      <w:pPr>
        <w:pStyle w:val="NoSpacing"/>
        <w:jc w:val="both"/>
        <w:rPr>
          <w:rFonts w:ascii="Arial" w:hAnsi="Arial" w:cs="Arial"/>
        </w:rPr>
      </w:pPr>
    </w:p>
    <w:p w:rsidR="00ED568B" w:rsidRDefault="009B02D4" w:rsidP="00627005">
      <w:pPr>
        <w:pStyle w:val="NoSpacing"/>
        <w:numPr>
          <w:ilvl w:val="0"/>
          <w:numId w:val="10"/>
        </w:numPr>
        <w:jc w:val="both"/>
        <w:rPr>
          <w:rFonts w:ascii="Arial" w:hAnsi="Arial" w:cs="Arial"/>
        </w:rPr>
      </w:pPr>
      <w:r>
        <w:rPr>
          <w:rFonts w:ascii="Arial" w:hAnsi="Arial" w:cs="Arial"/>
        </w:rPr>
        <w:t>All funds are allocated to ten projects</w:t>
      </w:r>
    </w:p>
    <w:p w:rsidR="00627005" w:rsidRDefault="009B02D4" w:rsidP="00627005">
      <w:pPr>
        <w:pStyle w:val="NoSpacing"/>
        <w:numPr>
          <w:ilvl w:val="0"/>
          <w:numId w:val="10"/>
        </w:numPr>
        <w:jc w:val="both"/>
        <w:rPr>
          <w:rFonts w:ascii="Arial" w:hAnsi="Arial" w:cs="Arial"/>
        </w:rPr>
      </w:pPr>
      <w:r>
        <w:rPr>
          <w:rFonts w:ascii="Arial" w:hAnsi="Arial" w:cs="Arial"/>
        </w:rPr>
        <w:t>Nine of the ten project business cases have been submitted to the LEP.</w:t>
      </w:r>
    </w:p>
    <w:p w:rsidR="00ED568B" w:rsidRDefault="009B02D4" w:rsidP="00627005">
      <w:pPr>
        <w:pStyle w:val="NoSpacing"/>
        <w:numPr>
          <w:ilvl w:val="0"/>
          <w:numId w:val="10"/>
        </w:numPr>
        <w:jc w:val="both"/>
        <w:rPr>
          <w:rFonts w:ascii="Arial" w:hAnsi="Arial" w:cs="Arial"/>
        </w:rPr>
      </w:pPr>
      <w:r>
        <w:rPr>
          <w:rFonts w:ascii="Arial" w:hAnsi="Arial" w:cs="Arial"/>
        </w:rPr>
        <w:t>Independent assurance has been completed on two project business cases.</w:t>
      </w:r>
    </w:p>
    <w:p w:rsidR="00ED568B" w:rsidRDefault="009B02D4" w:rsidP="00627005">
      <w:pPr>
        <w:pStyle w:val="NoSpacing"/>
        <w:numPr>
          <w:ilvl w:val="0"/>
          <w:numId w:val="10"/>
        </w:numPr>
        <w:jc w:val="both"/>
        <w:rPr>
          <w:rFonts w:ascii="Arial" w:hAnsi="Arial" w:cs="Arial"/>
        </w:rPr>
      </w:pPr>
      <w:r>
        <w:rPr>
          <w:rFonts w:ascii="Arial" w:hAnsi="Arial" w:cs="Arial"/>
        </w:rPr>
        <w:t>Independent assurance has commenced on a further three projects.</w:t>
      </w:r>
    </w:p>
    <w:p w:rsidR="00EF7C7C" w:rsidRDefault="009B02D4" w:rsidP="00627005">
      <w:pPr>
        <w:pStyle w:val="NoSpacing"/>
        <w:numPr>
          <w:ilvl w:val="0"/>
          <w:numId w:val="10"/>
        </w:numPr>
        <w:jc w:val="both"/>
        <w:rPr>
          <w:rFonts w:ascii="Arial" w:hAnsi="Arial" w:cs="Arial"/>
        </w:rPr>
      </w:pPr>
      <w:r>
        <w:rPr>
          <w:rFonts w:ascii="Arial" w:hAnsi="Arial" w:cs="Arial"/>
        </w:rPr>
        <w:t xml:space="preserve">Independent assurance is expected to commence on four further business case during September. The final business case assurance is expected to complete October. </w:t>
      </w:r>
    </w:p>
    <w:p w:rsidR="00826734" w:rsidRDefault="009B02D4" w:rsidP="00ED568B">
      <w:pPr>
        <w:pStyle w:val="NoSpacing"/>
        <w:numPr>
          <w:ilvl w:val="0"/>
          <w:numId w:val="10"/>
        </w:numPr>
        <w:jc w:val="both"/>
        <w:rPr>
          <w:rFonts w:ascii="Arial" w:hAnsi="Arial" w:cs="Arial"/>
        </w:rPr>
      </w:pPr>
      <w:r>
        <w:rPr>
          <w:rFonts w:ascii="Arial" w:hAnsi="Arial" w:cs="Arial"/>
        </w:rPr>
        <w:t xml:space="preserve">LEP Board funding approvals are expected to be sought during September and October for all projects – subject to positive assurance recommendations. </w:t>
      </w:r>
    </w:p>
    <w:p w:rsidR="00826734" w:rsidRDefault="00745EFD" w:rsidP="00627005">
      <w:pPr>
        <w:pStyle w:val="NoSpacing"/>
        <w:jc w:val="both"/>
        <w:rPr>
          <w:rFonts w:ascii="Arial" w:hAnsi="Arial" w:cs="Arial"/>
        </w:rPr>
      </w:pPr>
    </w:p>
    <w:p w:rsidR="005E71F2" w:rsidRDefault="009B02D4" w:rsidP="005E71F2">
      <w:pPr>
        <w:pStyle w:val="NoSpacing"/>
        <w:jc w:val="both"/>
        <w:rPr>
          <w:rFonts w:ascii="Arial" w:hAnsi="Arial" w:cs="Arial"/>
          <w:u w:val="single"/>
        </w:rPr>
      </w:pPr>
      <w:r w:rsidRPr="00627005">
        <w:rPr>
          <w:rFonts w:ascii="Arial" w:hAnsi="Arial" w:cs="Arial"/>
          <w:u w:val="single"/>
        </w:rPr>
        <w:t>Projected Outputs</w:t>
      </w:r>
    </w:p>
    <w:p w:rsidR="005E71F2" w:rsidRDefault="00745EFD" w:rsidP="005E71F2">
      <w:pPr>
        <w:pStyle w:val="NoSpacing"/>
        <w:jc w:val="both"/>
        <w:rPr>
          <w:rFonts w:ascii="Arial" w:hAnsi="Arial" w:cs="Arial"/>
          <w:u w:val="single"/>
        </w:rPr>
      </w:pPr>
    </w:p>
    <w:p w:rsidR="005E71F2" w:rsidRPr="00ED568B" w:rsidRDefault="009B02D4" w:rsidP="005E71F2">
      <w:pPr>
        <w:pStyle w:val="NoSpacing"/>
        <w:jc w:val="both"/>
        <w:rPr>
          <w:rFonts w:ascii="Arial" w:hAnsi="Arial" w:cs="Arial"/>
        </w:rPr>
      </w:pPr>
      <w:r w:rsidRPr="00ED568B">
        <w:rPr>
          <w:rFonts w:ascii="Arial" w:hAnsi="Arial" w:cs="Arial"/>
        </w:rPr>
        <w:t xml:space="preserve">The table below contains the combined </w:t>
      </w:r>
      <w:r>
        <w:rPr>
          <w:rFonts w:ascii="Arial" w:hAnsi="Arial" w:cs="Arial"/>
        </w:rPr>
        <w:t xml:space="preserve">forecasted </w:t>
      </w:r>
      <w:r w:rsidRPr="00ED568B">
        <w:rPr>
          <w:rFonts w:ascii="Arial" w:hAnsi="Arial" w:cs="Arial"/>
        </w:rPr>
        <w:t>outputs, as provided by projects when the</w:t>
      </w:r>
      <w:r>
        <w:rPr>
          <w:rFonts w:ascii="Arial" w:hAnsi="Arial" w:cs="Arial"/>
        </w:rPr>
        <w:t xml:space="preserve"> projects were </w:t>
      </w:r>
      <w:r w:rsidRPr="00ED568B">
        <w:rPr>
          <w:rFonts w:ascii="Arial" w:hAnsi="Arial" w:cs="Arial"/>
        </w:rPr>
        <w:t xml:space="preserve">submitted to government. </w:t>
      </w:r>
      <w:r>
        <w:rPr>
          <w:rFonts w:ascii="Arial" w:hAnsi="Arial" w:cs="Arial"/>
        </w:rPr>
        <w:t>These output forecasts will be confirmed upon completion of the Business Case Assurance and contracting (GFA).</w:t>
      </w:r>
    </w:p>
    <w:p w:rsidR="005E71F2" w:rsidRDefault="00745EFD" w:rsidP="005E71F2">
      <w:pPr>
        <w:pStyle w:val="NoSpacing"/>
        <w:jc w:val="both"/>
        <w:rPr>
          <w:rFonts w:ascii="Arial" w:hAnsi="Arial" w:cs="Arial"/>
        </w:rPr>
      </w:pPr>
    </w:p>
    <w:tbl>
      <w:tblPr>
        <w:tblStyle w:val="TableGrid"/>
        <w:tblW w:w="0" w:type="auto"/>
        <w:tblLook w:val="04A0" w:firstRow="1" w:lastRow="0" w:firstColumn="1" w:lastColumn="0" w:noHBand="0" w:noVBand="1"/>
      </w:tblPr>
      <w:tblGrid>
        <w:gridCol w:w="7650"/>
        <w:gridCol w:w="1366"/>
      </w:tblGrid>
      <w:tr w:rsidR="00B00B5F" w:rsidTr="000572C3">
        <w:tc>
          <w:tcPr>
            <w:tcW w:w="7650" w:type="dxa"/>
          </w:tcPr>
          <w:p w:rsidR="0046314C" w:rsidRPr="003B3E18" w:rsidRDefault="009B02D4" w:rsidP="005E71F2">
            <w:pPr>
              <w:pStyle w:val="NoSpacing"/>
              <w:jc w:val="both"/>
              <w:rPr>
                <w:rFonts w:ascii="Arial" w:hAnsi="Arial" w:cs="Arial"/>
                <w:b/>
              </w:rPr>
            </w:pPr>
            <w:r w:rsidRPr="003B3E18">
              <w:rPr>
                <w:rFonts w:ascii="Arial" w:hAnsi="Arial" w:cs="Arial"/>
                <w:b/>
              </w:rPr>
              <w:t>Output</w:t>
            </w:r>
          </w:p>
        </w:tc>
        <w:tc>
          <w:tcPr>
            <w:tcW w:w="1366" w:type="dxa"/>
          </w:tcPr>
          <w:p w:rsidR="0046314C" w:rsidRPr="003B3E18" w:rsidRDefault="009B02D4" w:rsidP="005E71F2">
            <w:pPr>
              <w:pStyle w:val="NoSpacing"/>
              <w:jc w:val="both"/>
              <w:rPr>
                <w:rFonts w:ascii="Arial" w:hAnsi="Arial" w:cs="Arial"/>
                <w:b/>
              </w:rPr>
            </w:pPr>
            <w:r w:rsidRPr="003B3E18">
              <w:rPr>
                <w:rFonts w:ascii="Arial" w:hAnsi="Arial" w:cs="Arial"/>
                <w:b/>
              </w:rPr>
              <w:t>Quantity</w:t>
            </w:r>
          </w:p>
        </w:tc>
      </w:tr>
      <w:tr w:rsidR="00B00B5F" w:rsidTr="000572C3">
        <w:tc>
          <w:tcPr>
            <w:tcW w:w="7650" w:type="dxa"/>
          </w:tcPr>
          <w:p w:rsidR="0046314C" w:rsidRPr="003B3E18" w:rsidRDefault="009B02D4" w:rsidP="005E71F2">
            <w:pPr>
              <w:pStyle w:val="NoSpacing"/>
              <w:jc w:val="both"/>
              <w:rPr>
                <w:rFonts w:ascii="Arial" w:hAnsi="Arial" w:cs="Arial"/>
              </w:rPr>
            </w:pPr>
            <w:r w:rsidRPr="003B3E18">
              <w:rPr>
                <w:rFonts w:ascii="Arial" w:hAnsi="Arial" w:cs="Arial"/>
              </w:rPr>
              <w:t>Jobs Created / Safeguarded</w:t>
            </w:r>
          </w:p>
        </w:tc>
        <w:tc>
          <w:tcPr>
            <w:tcW w:w="1366" w:type="dxa"/>
          </w:tcPr>
          <w:p w:rsidR="0046314C" w:rsidRPr="003B3E18" w:rsidRDefault="009B02D4" w:rsidP="005E71F2">
            <w:pPr>
              <w:pStyle w:val="NoSpacing"/>
              <w:jc w:val="both"/>
              <w:rPr>
                <w:rFonts w:ascii="Arial" w:hAnsi="Arial" w:cs="Arial"/>
              </w:rPr>
            </w:pPr>
            <w:r w:rsidRPr="003B3E18">
              <w:rPr>
                <w:rFonts w:ascii="Arial" w:hAnsi="Arial" w:cs="Arial"/>
              </w:rPr>
              <w:t>1524</w:t>
            </w:r>
          </w:p>
        </w:tc>
      </w:tr>
      <w:tr w:rsidR="00B00B5F" w:rsidTr="000572C3">
        <w:tc>
          <w:tcPr>
            <w:tcW w:w="7650" w:type="dxa"/>
          </w:tcPr>
          <w:p w:rsidR="0046314C" w:rsidRPr="003B3E18" w:rsidRDefault="009B02D4" w:rsidP="003B3E18">
            <w:pPr>
              <w:pStyle w:val="NoSpacing"/>
              <w:jc w:val="both"/>
              <w:rPr>
                <w:rFonts w:ascii="Arial" w:hAnsi="Arial" w:cs="Arial"/>
              </w:rPr>
            </w:pPr>
            <w:r w:rsidRPr="003B3E18">
              <w:rPr>
                <w:rFonts w:ascii="Arial" w:hAnsi="Arial" w:cs="Arial"/>
              </w:rPr>
              <w:t>Housing Unit Unlocked or Delivered</w:t>
            </w:r>
          </w:p>
        </w:tc>
        <w:tc>
          <w:tcPr>
            <w:tcW w:w="1366" w:type="dxa"/>
          </w:tcPr>
          <w:p w:rsidR="0046314C" w:rsidRPr="003B3E18" w:rsidRDefault="009B02D4" w:rsidP="005E71F2">
            <w:pPr>
              <w:pStyle w:val="NoSpacing"/>
              <w:jc w:val="both"/>
              <w:rPr>
                <w:rFonts w:ascii="Arial" w:hAnsi="Arial" w:cs="Arial"/>
              </w:rPr>
            </w:pPr>
            <w:r w:rsidRPr="003B3E18">
              <w:rPr>
                <w:rFonts w:ascii="Arial" w:hAnsi="Arial" w:cs="Arial"/>
              </w:rPr>
              <w:t>995</w:t>
            </w:r>
          </w:p>
        </w:tc>
      </w:tr>
      <w:tr w:rsidR="00B00B5F" w:rsidTr="000572C3">
        <w:tc>
          <w:tcPr>
            <w:tcW w:w="7650" w:type="dxa"/>
          </w:tcPr>
          <w:p w:rsidR="0046314C" w:rsidRPr="003B3E18" w:rsidRDefault="009B02D4" w:rsidP="000572C3">
            <w:pPr>
              <w:pStyle w:val="NoSpacing"/>
              <w:jc w:val="both"/>
              <w:rPr>
                <w:rFonts w:ascii="Arial" w:hAnsi="Arial" w:cs="Arial"/>
              </w:rPr>
            </w:pPr>
            <w:r w:rsidRPr="003B3E18">
              <w:rPr>
                <w:rFonts w:ascii="Arial" w:hAnsi="Arial" w:cs="Arial"/>
              </w:rPr>
              <w:t>Commer</w:t>
            </w:r>
            <w:r>
              <w:rPr>
                <w:rFonts w:ascii="Arial" w:hAnsi="Arial" w:cs="Arial"/>
              </w:rPr>
              <w:t>c</w:t>
            </w:r>
            <w:r w:rsidRPr="003B3E18">
              <w:rPr>
                <w:rFonts w:ascii="Arial" w:hAnsi="Arial" w:cs="Arial"/>
              </w:rPr>
              <w:t>ial floor</w:t>
            </w:r>
            <w:r>
              <w:rPr>
                <w:rFonts w:ascii="Arial" w:hAnsi="Arial" w:cs="Arial"/>
              </w:rPr>
              <w:t xml:space="preserve"> </w:t>
            </w:r>
            <w:r w:rsidRPr="003B3E18">
              <w:rPr>
                <w:rFonts w:ascii="Arial" w:hAnsi="Arial" w:cs="Arial"/>
              </w:rPr>
              <w:t>space (</w:t>
            </w:r>
            <w:r>
              <w:rPr>
                <w:rFonts w:ascii="Arial" w:hAnsi="Arial" w:cs="Arial"/>
              </w:rPr>
              <w:t>s</w:t>
            </w:r>
            <w:r w:rsidRPr="003B3E18">
              <w:rPr>
                <w:rFonts w:ascii="Arial" w:hAnsi="Arial" w:cs="Arial"/>
              </w:rPr>
              <w:t xml:space="preserve">qm) </w:t>
            </w:r>
          </w:p>
        </w:tc>
        <w:tc>
          <w:tcPr>
            <w:tcW w:w="1366" w:type="dxa"/>
          </w:tcPr>
          <w:p w:rsidR="0046314C" w:rsidRPr="003B3E18" w:rsidRDefault="009B02D4" w:rsidP="005E71F2">
            <w:pPr>
              <w:pStyle w:val="NoSpacing"/>
              <w:jc w:val="both"/>
              <w:rPr>
                <w:rFonts w:ascii="Arial" w:hAnsi="Arial" w:cs="Arial"/>
              </w:rPr>
            </w:pPr>
            <w:r w:rsidRPr="003B3E18">
              <w:rPr>
                <w:rFonts w:ascii="Arial" w:hAnsi="Arial" w:cs="Arial"/>
              </w:rPr>
              <w:t>88247</w:t>
            </w:r>
          </w:p>
        </w:tc>
      </w:tr>
      <w:tr w:rsidR="00B00B5F" w:rsidTr="000572C3">
        <w:tc>
          <w:tcPr>
            <w:tcW w:w="7650" w:type="dxa"/>
          </w:tcPr>
          <w:p w:rsidR="003B3E18" w:rsidRPr="003B3E18" w:rsidRDefault="009B02D4" w:rsidP="003B3E18">
            <w:pPr>
              <w:pStyle w:val="NoSpacing"/>
              <w:jc w:val="both"/>
              <w:rPr>
                <w:rFonts w:ascii="Arial" w:hAnsi="Arial" w:cs="Arial"/>
              </w:rPr>
            </w:pPr>
            <w:r w:rsidRPr="003B3E18">
              <w:rPr>
                <w:rFonts w:ascii="Arial" w:hAnsi="Arial" w:cs="Arial"/>
              </w:rPr>
              <w:t>Learning space improved or created</w:t>
            </w:r>
          </w:p>
        </w:tc>
        <w:tc>
          <w:tcPr>
            <w:tcW w:w="1366" w:type="dxa"/>
          </w:tcPr>
          <w:p w:rsidR="003B3E18" w:rsidRPr="003B3E18" w:rsidRDefault="009B02D4" w:rsidP="005E71F2">
            <w:pPr>
              <w:pStyle w:val="NoSpacing"/>
              <w:jc w:val="both"/>
              <w:rPr>
                <w:rFonts w:ascii="Arial" w:hAnsi="Arial" w:cs="Arial"/>
              </w:rPr>
            </w:pPr>
            <w:r w:rsidRPr="003B3E18">
              <w:rPr>
                <w:rFonts w:ascii="Arial" w:hAnsi="Arial" w:cs="Arial"/>
              </w:rPr>
              <w:t>396</w:t>
            </w:r>
          </w:p>
        </w:tc>
      </w:tr>
      <w:tr w:rsidR="00B00B5F" w:rsidTr="000572C3">
        <w:tc>
          <w:tcPr>
            <w:tcW w:w="7650" w:type="dxa"/>
          </w:tcPr>
          <w:p w:rsidR="0046314C" w:rsidRPr="003B3E18" w:rsidRDefault="009B02D4" w:rsidP="005E71F2">
            <w:pPr>
              <w:pStyle w:val="NoSpacing"/>
              <w:jc w:val="both"/>
              <w:rPr>
                <w:rFonts w:ascii="Arial" w:hAnsi="Arial" w:cs="Arial"/>
              </w:rPr>
            </w:pPr>
            <w:r w:rsidRPr="003B3E18">
              <w:rPr>
                <w:rFonts w:ascii="Arial" w:hAnsi="Arial" w:cs="Arial"/>
              </w:rPr>
              <w:t>Number of businesses or institutions assiste</w:t>
            </w:r>
            <w:r>
              <w:rPr>
                <w:rFonts w:ascii="Arial" w:hAnsi="Arial" w:cs="Arial"/>
              </w:rPr>
              <w:t>d</w:t>
            </w:r>
          </w:p>
        </w:tc>
        <w:tc>
          <w:tcPr>
            <w:tcW w:w="1366" w:type="dxa"/>
          </w:tcPr>
          <w:p w:rsidR="0046314C" w:rsidRPr="003B3E18" w:rsidRDefault="009B02D4" w:rsidP="005E71F2">
            <w:pPr>
              <w:pStyle w:val="NoSpacing"/>
              <w:jc w:val="both"/>
              <w:rPr>
                <w:rFonts w:ascii="Arial" w:hAnsi="Arial" w:cs="Arial"/>
              </w:rPr>
            </w:pPr>
            <w:r w:rsidRPr="003B3E18">
              <w:rPr>
                <w:rFonts w:ascii="Arial" w:hAnsi="Arial" w:cs="Arial"/>
              </w:rPr>
              <w:t>56</w:t>
            </w:r>
          </w:p>
        </w:tc>
      </w:tr>
      <w:tr w:rsidR="00B00B5F" w:rsidTr="000572C3">
        <w:tc>
          <w:tcPr>
            <w:tcW w:w="7650" w:type="dxa"/>
          </w:tcPr>
          <w:p w:rsidR="0046314C" w:rsidRPr="003B3E18" w:rsidRDefault="009B02D4" w:rsidP="000572C3">
            <w:pPr>
              <w:spacing w:after="0" w:line="240" w:lineRule="auto"/>
              <w:ind w:left="0" w:firstLine="0"/>
              <w:jc w:val="both"/>
              <w:rPr>
                <w:sz w:val="22"/>
                <w:szCs w:val="22"/>
              </w:rPr>
            </w:pPr>
            <w:r w:rsidRPr="003B3E18">
              <w:rPr>
                <w:bCs/>
                <w:sz w:val="22"/>
                <w:szCs w:val="22"/>
              </w:rPr>
              <w:t>KG of CO2 emissions avoided</w:t>
            </w:r>
          </w:p>
        </w:tc>
        <w:tc>
          <w:tcPr>
            <w:tcW w:w="1366" w:type="dxa"/>
          </w:tcPr>
          <w:p w:rsidR="0046314C" w:rsidRPr="003B3E18" w:rsidRDefault="009B02D4" w:rsidP="005E71F2">
            <w:pPr>
              <w:pStyle w:val="NoSpacing"/>
              <w:jc w:val="both"/>
              <w:rPr>
                <w:rFonts w:ascii="Arial" w:hAnsi="Arial" w:cs="Arial"/>
              </w:rPr>
            </w:pPr>
            <w:r w:rsidRPr="003B3E18">
              <w:rPr>
                <w:rFonts w:ascii="Arial" w:hAnsi="Arial" w:cs="Arial"/>
              </w:rPr>
              <w:t>671071</w:t>
            </w:r>
          </w:p>
        </w:tc>
      </w:tr>
      <w:tr w:rsidR="00B00B5F" w:rsidTr="000572C3">
        <w:tc>
          <w:tcPr>
            <w:tcW w:w="7650" w:type="dxa"/>
          </w:tcPr>
          <w:p w:rsidR="0046314C" w:rsidRPr="003B3E18" w:rsidRDefault="009B02D4" w:rsidP="005E71F2">
            <w:pPr>
              <w:pStyle w:val="NoSpacing"/>
              <w:jc w:val="both"/>
              <w:rPr>
                <w:rFonts w:ascii="Arial" w:hAnsi="Arial" w:cs="Arial"/>
              </w:rPr>
            </w:pPr>
            <w:r w:rsidRPr="003B3E18">
              <w:rPr>
                <w:rFonts w:ascii="Arial" w:hAnsi="Arial" w:cs="Arial"/>
              </w:rPr>
              <w:t>Public Realm or Green Space created</w:t>
            </w:r>
          </w:p>
        </w:tc>
        <w:tc>
          <w:tcPr>
            <w:tcW w:w="1366" w:type="dxa"/>
          </w:tcPr>
          <w:p w:rsidR="0046314C" w:rsidRPr="003B3E18" w:rsidRDefault="009B02D4" w:rsidP="005E71F2">
            <w:pPr>
              <w:pStyle w:val="NoSpacing"/>
              <w:jc w:val="both"/>
              <w:rPr>
                <w:rFonts w:ascii="Arial" w:hAnsi="Arial" w:cs="Arial"/>
              </w:rPr>
            </w:pPr>
            <w:r w:rsidRPr="003B3E18">
              <w:rPr>
                <w:rFonts w:ascii="Arial" w:hAnsi="Arial" w:cs="Arial"/>
              </w:rPr>
              <w:t>23480</w:t>
            </w:r>
          </w:p>
        </w:tc>
      </w:tr>
      <w:tr w:rsidR="00B00B5F" w:rsidTr="000572C3">
        <w:tc>
          <w:tcPr>
            <w:tcW w:w="7650" w:type="dxa"/>
          </w:tcPr>
          <w:p w:rsidR="0046314C" w:rsidRPr="003B3E18" w:rsidRDefault="009B02D4" w:rsidP="000572C3">
            <w:pPr>
              <w:spacing w:after="0" w:line="240" w:lineRule="auto"/>
              <w:ind w:left="0" w:firstLine="0"/>
              <w:jc w:val="both"/>
              <w:rPr>
                <w:sz w:val="22"/>
                <w:szCs w:val="22"/>
              </w:rPr>
            </w:pPr>
            <w:r w:rsidRPr="003B3E18">
              <w:rPr>
                <w:bCs/>
                <w:sz w:val="22"/>
                <w:szCs w:val="22"/>
              </w:rPr>
              <w:t>Number of new super/ultrafast broadband connections</w:t>
            </w:r>
          </w:p>
        </w:tc>
        <w:tc>
          <w:tcPr>
            <w:tcW w:w="1366" w:type="dxa"/>
          </w:tcPr>
          <w:p w:rsidR="0046314C" w:rsidRPr="003B3E18" w:rsidRDefault="009B02D4" w:rsidP="005E71F2">
            <w:pPr>
              <w:pStyle w:val="NoSpacing"/>
              <w:jc w:val="both"/>
              <w:rPr>
                <w:rFonts w:ascii="Arial" w:hAnsi="Arial" w:cs="Arial"/>
              </w:rPr>
            </w:pPr>
            <w:r w:rsidRPr="003B3E18">
              <w:rPr>
                <w:rFonts w:ascii="Arial" w:hAnsi="Arial" w:cs="Arial"/>
              </w:rPr>
              <w:t>102</w:t>
            </w:r>
          </w:p>
        </w:tc>
      </w:tr>
    </w:tbl>
    <w:p w:rsidR="0046314C" w:rsidRPr="003B3E18" w:rsidRDefault="00745EFD" w:rsidP="005E71F2">
      <w:pPr>
        <w:pStyle w:val="NoSpacing"/>
        <w:jc w:val="both"/>
        <w:rPr>
          <w:rFonts w:ascii="Arial" w:hAnsi="Arial" w:cs="Arial"/>
        </w:rPr>
      </w:pPr>
    </w:p>
    <w:p w:rsidR="008D2623" w:rsidRPr="00627005" w:rsidRDefault="009B02D4" w:rsidP="00627005">
      <w:pPr>
        <w:pStyle w:val="NoSpacing"/>
        <w:jc w:val="both"/>
        <w:rPr>
          <w:rFonts w:ascii="Arial" w:hAnsi="Arial" w:cs="Arial"/>
          <w:u w:val="single"/>
        </w:rPr>
      </w:pPr>
      <w:r w:rsidRPr="00627005">
        <w:rPr>
          <w:rFonts w:ascii="Arial" w:hAnsi="Arial" w:cs="Arial"/>
          <w:u w:val="single"/>
        </w:rPr>
        <w:t>Programme Milestones</w:t>
      </w:r>
    </w:p>
    <w:p w:rsidR="008D2623" w:rsidRPr="007A5862" w:rsidRDefault="00745EFD" w:rsidP="00627005">
      <w:pPr>
        <w:pStyle w:val="NoSpacing"/>
        <w:jc w:val="both"/>
        <w:rPr>
          <w:rFonts w:ascii="Arial" w:hAnsi="Arial" w:cs="Arial"/>
        </w:rPr>
      </w:pPr>
    </w:p>
    <w:tbl>
      <w:tblPr>
        <w:tblStyle w:val="TableGrid"/>
        <w:tblW w:w="9067" w:type="dxa"/>
        <w:tblLook w:val="04A0" w:firstRow="1" w:lastRow="0" w:firstColumn="1" w:lastColumn="0" w:noHBand="0" w:noVBand="1"/>
      </w:tblPr>
      <w:tblGrid>
        <w:gridCol w:w="4815"/>
        <w:gridCol w:w="992"/>
        <w:gridCol w:w="3260"/>
      </w:tblGrid>
      <w:tr w:rsidR="00B00B5F" w:rsidTr="00DB124B">
        <w:tc>
          <w:tcPr>
            <w:tcW w:w="4815" w:type="dxa"/>
          </w:tcPr>
          <w:p w:rsidR="008D2623" w:rsidRPr="007A5862" w:rsidRDefault="009B02D4" w:rsidP="00627005">
            <w:pPr>
              <w:pStyle w:val="NoSpacing"/>
              <w:jc w:val="both"/>
              <w:rPr>
                <w:rFonts w:ascii="Arial" w:hAnsi="Arial" w:cs="Arial"/>
                <w:b/>
              </w:rPr>
            </w:pPr>
            <w:r w:rsidRPr="007A5862">
              <w:rPr>
                <w:rFonts w:ascii="Arial" w:hAnsi="Arial" w:cs="Arial"/>
                <w:b/>
              </w:rPr>
              <w:t>Milestone</w:t>
            </w:r>
          </w:p>
        </w:tc>
        <w:tc>
          <w:tcPr>
            <w:tcW w:w="992" w:type="dxa"/>
          </w:tcPr>
          <w:p w:rsidR="008D2623" w:rsidRPr="007A5862" w:rsidRDefault="009B02D4" w:rsidP="00627005">
            <w:pPr>
              <w:pStyle w:val="NoSpacing"/>
              <w:jc w:val="both"/>
              <w:rPr>
                <w:rFonts w:ascii="Arial" w:hAnsi="Arial" w:cs="Arial"/>
                <w:b/>
              </w:rPr>
            </w:pPr>
            <w:r w:rsidRPr="007A5862">
              <w:rPr>
                <w:rFonts w:ascii="Arial" w:hAnsi="Arial" w:cs="Arial"/>
                <w:b/>
              </w:rPr>
              <w:t>Date</w:t>
            </w:r>
          </w:p>
        </w:tc>
        <w:tc>
          <w:tcPr>
            <w:tcW w:w="3260" w:type="dxa"/>
          </w:tcPr>
          <w:p w:rsidR="008D2623" w:rsidRPr="007A5862" w:rsidRDefault="009B02D4" w:rsidP="00627005">
            <w:pPr>
              <w:pStyle w:val="NoSpacing"/>
              <w:jc w:val="both"/>
              <w:rPr>
                <w:rFonts w:ascii="Arial" w:hAnsi="Arial" w:cs="Arial"/>
                <w:b/>
              </w:rPr>
            </w:pPr>
            <w:r w:rsidRPr="007A5862">
              <w:rPr>
                <w:rFonts w:ascii="Arial" w:hAnsi="Arial" w:cs="Arial"/>
                <w:b/>
              </w:rPr>
              <w:t>Comments</w:t>
            </w:r>
          </w:p>
        </w:tc>
      </w:tr>
      <w:tr w:rsidR="00B00B5F" w:rsidTr="00DB124B">
        <w:tc>
          <w:tcPr>
            <w:tcW w:w="4815" w:type="dxa"/>
          </w:tcPr>
          <w:p w:rsidR="008D2623" w:rsidRPr="007A5862" w:rsidRDefault="009B02D4" w:rsidP="00627005">
            <w:pPr>
              <w:pStyle w:val="NoSpacing"/>
              <w:jc w:val="both"/>
              <w:rPr>
                <w:rFonts w:ascii="Arial" w:hAnsi="Arial" w:cs="Arial"/>
              </w:rPr>
            </w:pPr>
            <w:r w:rsidRPr="007A5862">
              <w:rPr>
                <w:rFonts w:ascii="Arial" w:hAnsi="Arial" w:cs="Arial"/>
              </w:rPr>
              <w:t>Programme funding allocated projects</w:t>
            </w:r>
          </w:p>
        </w:tc>
        <w:tc>
          <w:tcPr>
            <w:tcW w:w="992" w:type="dxa"/>
          </w:tcPr>
          <w:p w:rsidR="008D2623" w:rsidRPr="007A5862" w:rsidRDefault="009B02D4" w:rsidP="00627005">
            <w:pPr>
              <w:pStyle w:val="NoSpacing"/>
              <w:jc w:val="both"/>
              <w:rPr>
                <w:rFonts w:ascii="Arial" w:hAnsi="Arial" w:cs="Arial"/>
              </w:rPr>
            </w:pPr>
            <w:r>
              <w:rPr>
                <w:rFonts w:ascii="Arial" w:hAnsi="Arial" w:cs="Arial"/>
              </w:rPr>
              <w:t>Aug 20</w:t>
            </w:r>
          </w:p>
        </w:tc>
        <w:tc>
          <w:tcPr>
            <w:tcW w:w="3260" w:type="dxa"/>
          </w:tcPr>
          <w:p w:rsidR="008D2623" w:rsidRPr="007A5862" w:rsidRDefault="009B02D4" w:rsidP="00627005">
            <w:pPr>
              <w:pStyle w:val="NoSpacing"/>
              <w:jc w:val="both"/>
              <w:rPr>
                <w:rFonts w:ascii="Arial" w:hAnsi="Arial" w:cs="Arial"/>
              </w:rPr>
            </w:pPr>
            <w:r>
              <w:rPr>
                <w:rFonts w:ascii="Arial" w:hAnsi="Arial" w:cs="Arial"/>
              </w:rPr>
              <w:t>Complete</w:t>
            </w:r>
          </w:p>
        </w:tc>
      </w:tr>
      <w:tr w:rsidR="00B00B5F" w:rsidTr="00DB124B">
        <w:tc>
          <w:tcPr>
            <w:tcW w:w="4815" w:type="dxa"/>
          </w:tcPr>
          <w:p w:rsidR="00183061" w:rsidRPr="007A5862" w:rsidRDefault="009B02D4" w:rsidP="00627005">
            <w:pPr>
              <w:pStyle w:val="NoSpacing"/>
              <w:jc w:val="both"/>
              <w:rPr>
                <w:rFonts w:ascii="Arial" w:hAnsi="Arial" w:cs="Arial"/>
              </w:rPr>
            </w:pPr>
            <w:r>
              <w:rPr>
                <w:rFonts w:ascii="Arial" w:hAnsi="Arial" w:cs="Arial"/>
              </w:rPr>
              <w:t>Offer letter received</w:t>
            </w:r>
          </w:p>
        </w:tc>
        <w:tc>
          <w:tcPr>
            <w:tcW w:w="992" w:type="dxa"/>
          </w:tcPr>
          <w:p w:rsidR="00183061" w:rsidRPr="007A5862" w:rsidRDefault="009B02D4" w:rsidP="00627005">
            <w:pPr>
              <w:pStyle w:val="NoSpacing"/>
              <w:jc w:val="both"/>
              <w:rPr>
                <w:rFonts w:ascii="Arial" w:hAnsi="Arial" w:cs="Arial"/>
              </w:rPr>
            </w:pPr>
            <w:r>
              <w:rPr>
                <w:rFonts w:ascii="Arial" w:hAnsi="Arial" w:cs="Arial"/>
              </w:rPr>
              <w:t>Sep 20</w:t>
            </w:r>
          </w:p>
        </w:tc>
        <w:tc>
          <w:tcPr>
            <w:tcW w:w="3260" w:type="dxa"/>
          </w:tcPr>
          <w:p w:rsidR="00183061" w:rsidRPr="007A5862" w:rsidRDefault="009B02D4" w:rsidP="000572C3">
            <w:pPr>
              <w:pStyle w:val="NoSpacing"/>
              <w:jc w:val="both"/>
              <w:rPr>
                <w:rFonts w:ascii="Arial" w:hAnsi="Arial" w:cs="Arial"/>
              </w:rPr>
            </w:pPr>
            <w:r>
              <w:rPr>
                <w:rFonts w:ascii="Arial" w:hAnsi="Arial" w:cs="Arial"/>
              </w:rPr>
              <w:t>Not yet received</w:t>
            </w:r>
          </w:p>
        </w:tc>
      </w:tr>
      <w:tr w:rsidR="00B00B5F" w:rsidTr="00DB124B">
        <w:tc>
          <w:tcPr>
            <w:tcW w:w="4815" w:type="dxa"/>
          </w:tcPr>
          <w:p w:rsidR="008D2623" w:rsidRPr="007A5862" w:rsidRDefault="009B02D4" w:rsidP="00627005">
            <w:pPr>
              <w:pStyle w:val="NoSpacing"/>
              <w:jc w:val="both"/>
              <w:rPr>
                <w:rFonts w:ascii="Arial" w:hAnsi="Arial" w:cs="Arial"/>
              </w:rPr>
            </w:pPr>
            <w:r w:rsidRPr="007A5862">
              <w:rPr>
                <w:rFonts w:ascii="Arial" w:hAnsi="Arial" w:cs="Arial"/>
              </w:rPr>
              <w:t xml:space="preserve">Programme funding contracted to projects </w:t>
            </w:r>
          </w:p>
        </w:tc>
        <w:tc>
          <w:tcPr>
            <w:tcW w:w="992" w:type="dxa"/>
          </w:tcPr>
          <w:p w:rsidR="008D2623" w:rsidRPr="007A5862" w:rsidRDefault="009B02D4" w:rsidP="00627005">
            <w:pPr>
              <w:pStyle w:val="NoSpacing"/>
              <w:jc w:val="both"/>
              <w:rPr>
                <w:rFonts w:ascii="Arial" w:hAnsi="Arial" w:cs="Arial"/>
              </w:rPr>
            </w:pPr>
            <w:r>
              <w:rPr>
                <w:rFonts w:ascii="Arial" w:hAnsi="Arial" w:cs="Arial"/>
              </w:rPr>
              <w:t>Oct 20</w:t>
            </w:r>
          </w:p>
        </w:tc>
        <w:tc>
          <w:tcPr>
            <w:tcW w:w="3260" w:type="dxa"/>
          </w:tcPr>
          <w:p w:rsidR="008D2623" w:rsidRPr="007A5862" w:rsidRDefault="00745EFD" w:rsidP="00627005">
            <w:pPr>
              <w:pStyle w:val="NoSpacing"/>
              <w:jc w:val="both"/>
              <w:rPr>
                <w:rFonts w:ascii="Arial" w:hAnsi="Arial" w:cs="Arial"/>
              </w:rPr>
            </w:pPr>
          </w:p>
        </w:tc>
      </w:tr>
      <w:tr w:rsidR="00B00B5F" w:rsidTr="00DB124B">
        <w:tc>
          <w:tcPr>
            <w:tcW w:w="4815" w:type="dxa"/>
          </w:tcPr>
          <w:p w:rsidR="008D2623" w:rsidRPr="007A5862" w:rsidRDefault="009B02D4" w:rsidP="00627005">
            <w:pPr>
              <w:pStyle w:val="NoSpacing"/>
              <w:jc w:val="both"/>
              <w:rPr>
                <w:rFonts w:ascii="Arial" w:hAnsi="Arial" w:cs="Arial"/>
              </w:rPr>
            </w:pPr>
            <w:r w:rsidRPr="007A5862">
              <w:rPr>
                <w:rFonts w:ascii="Arial" w:hAnsi="Arial" w:cs="Arial"/>
              </w:rPr>
              <w:t>Communications Milestones Identified</w:t>
            </w:r>
          </w:p>
        </w:tc>
        <w:tc>
          <w:tcPr>
            <w:tcW w:w="992" w:type="dxa"/>
          </w:tcPr>
          <w:p w:rsidR="008D2623" w:rsidRPr="007A5862" w:rsidRDefault="009B02D4" w:rsidP="00627005">
            <w:pPr>
              <w:pStyle w:val="NoSpacing"/>
              <w:jc w:val="both"/>
              <w:rPr>
                <w:rFonts w:ascii="Arial" w:hAnsi="Arial" w:cs="Arial"/>
              </w:rPr>
            </w:pPr>
            <w:r>
              <w:rPr>
                <w:rFonts w:ascii="Arial" w:hAnsi="Arial" w:cs="Arial"/>
              </w:rPr>
              <w:t>Oct 20</w:t>
            </w:r>
          </w:p>
        </w:tc>
        <w:tc>
          <w:tcPr>
            <w:tcW w:w="3260" w:type="dxa"/>
          </w:tcPr>
          <w:p w:rsidR="008D2623" w:rsidRPr="007A5862" w:rsidRDefault="00745EFD" w:rsidP="00627005">
            <w:pPr>
              <w:pStyle w:val="NoSpacing"/>
              <w:jc w:val="both"/>
              <w:rPr>
                <w:rFonts w:ascii="Arial" w:hAnsi="Arial" w:cs="Arial"/>
              </w:rPr>
            </w:pPr>
          </w:p>
        </w:tc>
      </w:tr>
      <w:tr w:rsidR="00B00B5F" w:rsidTr="00DB124B">
        <w:tc>
          <w:tcPr>
            <w:tcW w:w="4815" w:type="dxa"/>
          </w:tcPr>
          <w:p w:rsidR="000572C3" w:rsidRPr="007A5862" w:rsidRDefault="009B02D4" w:rsidP="00AC3A2A">
            <w:pPr>
              <w:pStyle w:val="NoSpacing"/>
              <w:jc w:val="both"/>
              <w:rPr>
                <w:rFonts w:ascii="Arial" w:hAnsi="Arial" w:cs="Arial"/>
              </w:rPr>
            </w:pPr>
            <w:r w:rsidRPr="007A5862">
              <w:rPr>
                <w:rFonts w:ascii="Arial" w:hAnsi="Arial" w:cs="Arial"/>
              </w:rPr>
              <w:t>Social Value embedded within the programme</w:t>
            </w:r>
          </w:p>
        </w:tc>
        <w:tc>
          <w:tcPr>
            <w:tcW w:w="992" w:type="dxa"/>
          </w:tcPr>
          <w:p w:rsidR="000572C3" w:rsidRPr="007A5862" w:rsidRDefault="009B02D4" w:rsidP="00AC3A2A">
            <w:pPr>
              <w:pStyle w:val="NoSpacing"/>
              <w:jc w:val="both"/>
              <w:rPr>
                <w:rFonts w:ascii="Arial" w:hAnsi="Arial" w:cs="Arial"/>
              </w:rPr>
            </w:pPr>
            <w:r>
              <w:rPr>
                <w:rFonts w:ascii="Arial" w:hAnsi="Arial" w:cs="Arial"/>
              </w:rPr>
              <w:t>Oct 20</w:t>
            </w:r>
          </w:p>
        </w:tc>
        <w:tc>
          <w:tcPr>
            <w:tcW w:w="3260" w:type="dxa"/>
          </w:tcPr>
          <w:p w:rsidR="000572C3" w:rsidRPr="007A5862" w:rsidRDefault="00745EFD" w:rsidP="00AC3A2A">
            <w:pPr>
              <w:pStyle w:val="NoSpacing"/>
              <w:jc w:val="both"/>
              <w:rPr>
                <w:rFonts w:ascii="Arial" w:hAnsi="Arial" w:cs="Arial"/>
              </w:rPr>
            </w:pPr>
          </w:p>
        </w:tc>
      </w:tr>
      <w:tr w:rsidR="00B00B5F" w:rsidTr="00DB124B">
        <w:tc>
          <w:tcPr>
            <w:tcW w:w="4815" w:type="dxa"/>
          </w:tcPr>
          <w:p w:rsidR="008D2623" w:rsidRPr="007A5862" w:rsidRDefault="009B02D4" w:rsidP="000572C3">
            <w:pPr>
              <w:pStyle w:val="NoSpacing"/>
              <w:jc w:val="both"/>
              <w:rPr>
                <w:rFonts w:ascii="Arial" w:hAnsi="Arial" w:cs="Arial"/>
              </w:rPr>
            </w:pPr>
            <w:r w:rsidRPr="007A5862">
              <w:rPr>
                <w:rFonts w:ascii="Arial" w:hAnsi="Arial" w:cs="Arial"/>
              </w:rPr>
              <w:t xml:space="preserve">Projects </w:t>
            </w:r>
            <w:r>
              <w:rPr>
                <w:rFonts w:ascii="Arial" w:hAnsi="Arial" w:cs="Arial"/>
              </w:rPr>
              <w:t>achieve practical completion</w:t>
            </w:r>
          </w:p>
        </w:tc>
        <w:tc>
          <w:tcPr>
            <w:tcW w:w="992" w:type="dxa"/>
          </w:tcPr>
          <w:p w:rsidR="008D2623" w:rsidRPr="007A5862" w:rsidRDefault="009B02D4" w:rsidP="00627005">
            <w:pPr>
              <w:pStyle w:val="NoSpacing"/>
              <w:jc w:val="both"/>
              <w:rPr>
                <w:rFonts w:ascii="Arial" w:hAnsi="Arial" w:cs="Arial"/>
              </w:rPr>
            </w:pPr>
            <w:r>
              <w:rPr>
                <w:rFonts w:ascii="Arial" w:hAnsi="Arial" w:cs="Arial"/>
              </w:rPr>
              <w:t>Mar 22</w:t>
            </w:r>
          </w:p>
        </w:tc>
        <w:tc>
          <w:tcPr>
            <w:tcW w:w="3260" w:type="dxa"/>
          </w:tcPr>
          <w:p w:rsidR="008D2623" w:rsidRPr="007A5862" w:rsidRDefault="00745EFD" w:rsidP="00627005">
            <w:pPr>
              <w:pStyle w:val="NoSpacing"/>
              <w:jc w:val="both"/>
              <w:rPr>
                <w:rFonts w:ascii="Arial" w:hAnsi="Arial" w:cs="Arial"/>
              </w:rPr>
            </w:pPr>
          </w:p>
        </w:tc>
      </w:tr>
      <w:tr w:rsidR="00B00B5F" w:rsidTr="00DB124B">
        <w:tc>
          <w:tcPr>
            <w:tcW w:w="4815" w:type="dxa"/>
          </w:tcPr>
          <w:p w:rsidR="008D2623" w:rsidRPr="007A5862" w:rsidRDefault="009B02D4" w:rsidP="00627005">
            <w:pPr>
              <w:pStyle w:val="NoSpacing"/>
              <w:jc w:val="both"/>
              <w:rPr>
                <w:rFonts w:ascii="Arial" w:hAnsi="Arial" w:cs="Arial"/>
              </w:rPr>
            </w:pPr>
            <w:r>
              <w:rPr>
                <w:rFonts w:ascii="Arial" w:hAnsi="Arial" w:cs="Arial"/>
              </w:rPr>
              <w:t xml:space="preserve">Programme contracted targets achieved </w:t>
            </w:r>
          </w:p>
        </w:tc>
        <w:tc>
          <w:tcPr>
            <w:tcW w:w="992" w:type="dxa"/>
          </w:tcPr>
          <w:p w:rsidR="008D2623" w:rsidRPr="007A5862" w:rsidRDefault="009B02D4" w:rsidP="000572C3">
            <w:pPr>
              <w:pStyle w:val="NoSpacing"/>
              <w:jc w:val="both"/>
              <w:rPr>
                <w:rFonts w:ascii="Arial" w:hAnsi="Arial" w:cs="Arial"/>
              </w:rPr>
            </w:pPr>
            <w:r>
              <w:rPr>
                <w:rFonts w:ascii="Arial" w:hAnsi="Arial" w:cs="Arial"/>
              </w:rPr>
              <w:t>TBA</w:t>
            </w:r>
          </w:p>
        </w:tc>
        <w:tc>
          <w:tcPr>
            <w:tcW w:w="3260" w:type="dxa"/>
          </w:tcPr>
          <w:p w:rsidR="008D2623" w:rsidRPr="007A5862" w:rsidRDefault="009B02D4" w:rsidP="00627005">
            <w:pPr>
              <w:pStyle w:val="NoSpacing"/>
              <w:jc w:val="both"/>
              <w:rPr>
                <w:rFonts w:ascii="Arial" w:hAnsi="Arial" w:cs="Arial"/>
              </w:rPr>
            </w:pPr>
            <w:r>
              <w:rPr>
                <w:rFonts w:ascii="Arial" w:hAnsi="Arial" w:cs="Arial"/>
              </w:rPr>
              <w:t>Targets to be agreed with CLG</w:t>
            </w:r>
          </w:p>
        </w:tc>
      </w:tr>
      <w:tr w:rsidR="00B00B5F" w:rsidTr="00DB124B">
        <w:tc>
          <w:tcPr>
            <w:tcW w:w="4815" w:type="dxa"/>
          </w:tcPr>
          <w:p w:rsidR="008D2623" w:rsidRPr="007A5862" w:rsidRDefault="009B02D4" w:rsidP="00627005">
            <w:pPr>
              <w:pStyle w:val="NoSpacing"/>
              <w:jc w:val="both"/>
              <w:rPr>
                <w:rFonts w:ascii="Arial" w:hAnsi="Arial" w:cs="Arial"/>
              </w:rPr>
            </w:pPr>
            <w:r>
              <w:rPr>
                <w:rFonts w:ascii="Arial" w:hAnsi="Arial" w:cs="Arial"/>
              </w:rPr>
              <w:t xml:space="preserve">Evaluation / Case studies collected </w:t>
            </w:r>
          </w:p>
        </w:tc>
        <w:tc>
          <w:tcPr>
            <w:tcW w:w="992" w:type="dxa"/>
          </w:tcPr>
          <w:p w:rsidR="008D2623" w:rsidRPr="007A5862" w:rsidRDefault="009B02D4" w:rsidP="00627005">
            <w:pPr>
              <w:pStyle w:val="NoSpacing"/>
              <w:jc w:val="both"/>
              <w:rPr>
                <w:rFonts w:ascii="Arial" w:hAnsi="Arial" w:cs="Arial"/>
              </w:rPr>
            </w:pPr>
            <w:r>
              <w:rPr>
                <w:rFonts w:ascii="Arial" w:hAnsi="Arial" w:cs="Arial"/>
              </w:rPr>
              <w:t>Mar 22</w:t>
            </w:r>
          </w:p>
        </w:tc>
        <w:tc>
          <w:tcPr>
            <w:tcW w:w="3260" w:type="dxa"/>
          </w:tcPr>
          <w:p w:rsidR="008D2623" w:rsidRPr="007A5862" w:rsidRDefault="00745EFD" w:rsidP="00627005">
            <w:pPr>
              <w:pStyle w:val="NoSpacing"/>
              <w:jc w:val="both"/>
              <w:rPr>
                <w:rFonts w:ascii="Arial" w:hAnsi="Arial" w:cs="Arial"/>
              </w:rPr>
            </w:pPr>
          </w:p>
        </w:tc>
      </w:tr>
    </w:tbl>
    <w:p w:rsidR="00A75EFE" w:rsidRPr="007A5862" w:rsidRDefault="00745EFD" w:rsidP="00627005">
      <w:pPr>
        <w:pStyle w:val="NoSpacing"/>
        <w:jc w:val="both"/>
        <w:rPr>
          <w:rFonts w:ascii="Arial" w:hAnsi="Arial" w:cs="Arial"/>
        </w:rPr>
      </w:pPr>
    </w:p>
    <w:p w:rsidR="00FE4F07" w:rsidRPr="007A5862" w:rsidRDefault="009B02D4" w:rsidP="00627005">
      <w:pPr>
        <w:pStyle w:val="NoSpacing"/>
        <w:jc w:val="both"/>
        <w:rPr>
          <w:rFonts w:ascii="Arial" w:hAnsi="Arial" w:cs="Arial"/>
          <w:b/>
          <w:i/>
        </w:rPr>
      </w:pPr>
      <w:r w:rsidRPr="007A5862">
        <w:rPr>
          <w:rFonts w:ascii="Arial" w:hAnsi="Arial" w:cs="Arial"/>
          <w:b/>
          <w:i/>
        </w:rPr>
        <w:t>Risks / Matters of consideration</w:t>
      </w:r>
    </w:p>
    <w:p w:rsidR="00447D1D" w:rsidRPr="007A5862" w:rsidRDefault="00745EFD" w:rsidP="00627005">
      <w:pPr>
        <w:pStyle w:val="NoSpacing"/>
        <w:jc w:val="both"/>
        <w:rPr>
          <w:rFonts w:ascii="Arial" w:hAnsi="Arial" w:cs="Arial"/>
        </w:rPr>
      </w:pPr>
    </w:p>
    <w:tbl>
      <w:tblPr>
        <w:tblStyle w:val="TableGrid"/>
        <w:tblW w:w="9067" w:type="dxa"/>
        <w:tblLook w:val="04A0" w:firstRow="1" w:lastRow="0" w:firstColumn="1" w:lastColumn="0" w:noHBand="0" w:noVBand="1"/>
      </w:tblPr>
      <w:tblGrid>
        <w:gridCol w:w="3539"/>
        <w:gridCol w:w="5528"/>
      </w:tblGrid>
      <w:tr w:rsidR="00B00B5F" w:rsidTr="000572C3">
        <w:tc>
          <w:tcPr>
            <w:tcW w:w="3539" w:type="dxa"/>
          </w:tcPr>
          <w:p w:rsidR="00421252" w:rsidRPr="007A5862" w:rsidRDefault="009B02D4" w:rsidP="00627005">
            <w:pPr>
              <w:pStyle w:val="NoSpacing"/>
              <w:jc w:val="both"/>
              <w:rPr>
                <w:rFonts w:ascii="Arial" w:hAnsi="Arial" w:cs="Arial"/>
                <w:b/>
              </w:rPr>
            </w:pPr>
            <w:r w:rsidRPr="007A5862">
              <w:rPr>
                <w:rFonts w:ascii="Arial" w:hAnsi="Arial" w:cs="Arial"/>
                <w:b/>
              </w:rPr>
              <w:t>Risk</w:t>
            </w:r>
          </w:p>
        </w:tc>
        <w:tc>
          <w:tcPr>
            <w:tcW w:w="5528" w:type="dxa"/>
          </w:tcPr>
          <w:p w:rsidR="00421252" w:rsidRPr="007A5862" w:rsidRDefault="009B02D4" w:rsidP="00627005">
            <w:pPr>
              <w:pStyle w:val="NoSpacing"/>
              <w:jc w:val="both"/>
              <w:rPr>
                <w:rFonts w:ascii="Arial" w:hAnsi="Arial" w:cs="Arial"/>
                <w:b/>
              </w:rPr>
            </w:pPr>
            <w:r w:rsidRPr="007A5862">
              <w:rPr>
                <w:rFonts w:ascii="Arial" w:hAnsi="Arial" w:cs="Arial"/>
                <w:b/>
              </w:rPr>
              <w:t>Mitigation / Action</w:t>
            </w:r>
          </w:p>
        </w:tc>
      </w:tr>
      <w:tr w:rsidR="00B00B5F" w:rsidTr="000572C3">
        <w:tc>
          <w:tcPr>
            <w:tcW w:w="3539" w:type="dxa"/>
          </w:tcPr>
          <w:p w:rsidR="00421252" w:rsidRPr="007A5862" w:rsidRDefault="009B02D4" w:rsidP="000572C3">
            <w:pPr>
              <w:pStyle w:val="NoSpacing"/>
              <w:rPr>
                <w:rFonts w:ascii="Arial" w:hAnsi="Arial" w:cs="Arial"/>
              </w:rPr>
            </w:pPr>
            <w:r>
              <w:rPr>
                <w:rFonts w:ascii="Arial" w:hAnsi="Arial" w:cs="Arial"/>
              </w:rPr>
              <w:t xml:space="preserve">Projects do not pass business case or contracting process </w:t>
            </w:r>
          </w:p>
        </w:tc>
        <w:tc>
          <w:tcPr>
            <w:tcW w:w="5528" w:type="dxa"/>
          </w:tcPr>
          <w:p w:rsidR="00421252" w:rsidRPr="007A5862" w:rsidRDefault="009B02D4" w:rsidP="000572C3">
            <w:pPr>
              <w:pStyle w:val="NoSpacing"/>
              <w:rPr>
                <w:rFonts w:ascii="Arial" w:hAnsi="Arial" w:cs="Arial"/>
              </w:rPr>
            </w:pPr>
            <w:r>
              <w:rPr>
                <w:rFonts w:ascii="Arial" w:hAnsi="Arial" w:cs="Arial"/>
              </w:rPr>
              <w:t>Agree with government to consider others in the pipeline submitted.</w:t>
            </w:r>
          </w:p>
        </w:tc>
      </w:tr>
      <w:tr w:rsidR="00B00B5F" w:rsidTr="000572C3">
        <w:tc>
          <w:tcPr>
            <w:tcW w:w="3539" w:type="dxa"/>
          </w:tcPr>
          <w:p w:rsidR="00421252" w:rsidRPr="007A5862" w:rsidRDefault="009B02D4" w:rsidP="000572C3">
            <w:pPr>
              <w:pStyle w:val="NoSpacing"/>
              <w:rPr>
                <w:rFonts w:ascii="Arial" w:hAnsi="Arial" w:cs="Arial"/>
              </w:rPr>
            </w:pPr>
            <w:r>
              <w:rPr>
                <w:rFonts w:ascii="Arial" w:hAnsi="Arial" w:cs="Arial"/>
              </w:rPr>
              <w:t>Programme fails to achieve objectives</w:t>
            </w:r>
          </w:p>
        </w:tc>
        <w:tc>
          <w:tcPr>
            <w:tcW w:w="5528" w:type="dxa"/>
          </w:tcPr>
          <w:p w:rsidR="00421252" w:rsidRDefault="009B02D4" w:rsidP="000572C3">
            <w:pPr>
              <w:pStyle w:val="NoSpacing"/>
              <w:rPr>
                <w:rFonts w:ascii="Arial" w:hAnsi="Arial" w:cs="Arial"/>
              </w:rPr>
            </w:pPr>
            <w:r>
              <w:rPr>
                <w:rFonts w:ascii="Arial" w:hAnsi="Arial" w:cs="Arial"/>
              </w:rPr>
              <w:t>Close monitoring and evaluation at quarterly intervals of each project. Reporting to LEP Board re performance.</w:t>
            </w:r>
          </w:p>
          <w:p w:rsidR="004F1D3E" w:rsidRPr="007A5862" w:rsidRDefault="009B02D4" w:rsidP="000572C3">
            <w:pPr>
              <w:pStyle w:val="NoSpacing"/>
              <w:rPr>
                <w:rFonts w:ascii="Arial" w:hAnsi="Arial" w:cs="Arial"/>
              </w:rPr>
            </w:pPr>
            <w:r>
              <w:rPr>
                <w:rFonts w:ascii="Arial" w:hAnsi="Arial" w:cs="Arial"/>
              </w:rPr>
              <w:t>Potential clawback of funds</w:t>
            </w:r>
          </w:p>
        </w:tc>
      </w:tr>
    </w:tbl>
    <w:p w:rsidR="008B02F2" w:rsidRPr="007A5862" w:rsidRDefault="009B02D4" w:rsidP="00627005">
      <w:pPr>
        <w:pStyle w:val="NoSpacing"/>
        <w:jc w:val="both"/>
        <w:rPr>
          <w:rFonts w:ascii="Arial" w:hAnsi="Arial" w:cs="Arial"/>
        </w:rPr>
      </w:pPr>
      <w:r w:rsidRPr="008B02F2">
        <w:rPr>
          <w:noProof/>
          <w:lang w:eastAsia="en-GB"/>
        </w:rPr>
        <w:lastRenderedPageBreak/>
        <w:drawing>
          <wp:inline distT="0" distB="0" distL="0" distR="0">
            <wp:extent cx="5731510" cy="1000637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737277"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731510" cy="10006373"/>
                    </a:xfrm>
                    <a:prstGeom prst="rect">
                      <a:avLst/>
                    </a:prstGeom>
                    <a:noFill/>
                    <a:ln>
                      <a:noFill/>
                    </a:ln>
                  </pic:spPr>
                </pic:pic>
              </a:graphicData>
            </a:graphic>
          </wp:inline>
        </w:drawing>
      </w:r>
    </w:p>
    <w:sectPr w:rsidR="008B02F2" w:rsidRPr="007A5862" w:rsidSect="003C08A6">
      <w:pgSz w:w="11906" w:h="16838"/>
      <w:pgMar w:top="567"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A0DC6"/>
    <w:multiLevelType w:val="hybridMultilevel"/>
    <w:tmpl w:val="10E8D4CE"/>
    <w:lvl w:ilvl="0" w:tplc="D5AA7822">
      <w:start w:val="1"/>
      <w:numFmt w:val="bullet"/>
      <w:lvlText w:val="o"/>
      <w:lvlJc w:val="left"/>
      <w:pPr>
        <w:ind w:left="1080" w:hanging="360"/>
      </w:pPr>
      <w:rPr>
        <w:rFonts w:ascii="Courier New" w:hAnsi="Courier New" w:cs="Courier New" w:hint="default"/>
      </w:rPr>
    </w:lvl>
    <w:lvl w:ilvl="1" w:tplc="51C216CA">
      <w:start w:val="1"/>
      <w:numFmt w:val="bullet"/>
      <w:lvlText w:val="o"/>
      <w:lvlJc w:val="left"/>
      <w:pPr>
        <w:ind w:left="1800" w:hanging="360"/>
      </w:pPr>
      <w:rPr>
        <w:rFonts w:ascii="Courier New" w:hAnsi="Courier New" w:cs="Courier New" w:hint="default"/>
      </w:rPr>
    </w:lvl>
    <w:lvl w:ilvl="2" w:tplc="96A855E2" w:tentative="1">
      <w:start w:val="1"/>
      <w:numFmt w:val="lowerRoman"/>
      <w:lvlText w:val="%3."/>
      <w:lvlJc w:val="right"/>
      <w:pPr>
        <w:ind w:left="2520" w:hanging="180"/>
      </w:pPr>
    </w:lvl>
    <w:lvl w:ilvl="3" w:tplc="119609BC" w:tentative="1">
      <w:start w:val="1"/>
      <w:numFmt w:val="decimal"/>
      <w:lvlText w:val="%4."/>
      <w:lvlJc w:val="left"/>
      <w:pPr>
        <w:ind w:left="3240" w:hanging="360"/>
      </w:pPr>
    </w:lvl>
    <w:lvl w:ilvl="4" w:tplc="AD7282BC" w:tentative="1">
      <w:start w:val="1"/>
      <w:numFmt w:val="lowerLetter"/>
      <w:lvlText w:val="%5."/>
      <w:lvlJc w:val="left"/>
      <w:pPr>
        <w:ind w:left="3960" w:hanging="360"/>
      </w:pPr>
    </w:lvl>
    <w:lvl w:ilvl="5" w:tplc="01E4CD5C" w:tentative="1">
      <w:start w:val="1"/>
      <w:numFmt w:val="lowerRoman"/>
      <w:lvlText w:val="%6."/>
      <w:lvlJc w:val="right"/>
      <w:pPr>
        <w:ind w:left="4680" w:hanging="180"/>
      </w:pPr>
    </w:lvl>
    <w:lvl w:ilvl="6" w:tplc="E0E437C8" w:tentative="1">
      <w:start w:val="1"/>
      <w:numFmt w:val="decimal"/>
      <w:lvlText w:val="%7."/>
      <w:lvlJc w:val="left"/>
      <w:pPr>
        <w:ind w:left="5400" w:hanging="360"/>
      </w:pPr>
    </w:lvl>
    <w:lvl w:ilvl="7" w:tplc="5C964EB0" w:tentative="1">
      <w:start w:val="1"/>
      <w:numFmt w:val="lowerLetter"/>
      <w:lvlText w:val="%8."/>
      <w:lvlJc w:val="left"/>
      <w:pPr>
        <w:ind w:left="6120" w:hanging="360"/>
      </w:pPr>
    </w:lvl>
    <w:lvl w:ilvl="8" w:tplc="0B867F4C" w:tentative="1">
      <w:start w:val="1"/>
      <w:numFmt w:val="lowerRoman"/>
      <w:lvlText w:val="%9."/>
      <w:lvlJc w:val="right"/>
      <w:pPr>
        <w:ind w:left="6840" w:hanging="180"/>
      </w:pPr>
    </w:lvl>
  </w:abstractNum>
  <w:abstractNum w:abstractNumId="1" w15:restartNumberingAfterBreak="0">
    <w:nsid w:val="1C89753B"/>
    <w:multiLevelType w:val="hybridMultilevel"/>
    <w:tmpl w:val="3BBAB42C"/>
    <w:lvl w:ilvl="0" w:tplc="E0444238">
      <w:start w:val="1"/>
      <w:numFmt w:val="bullet"/>
      <w:lvlText w:val=""/>
      <w:lvlJc w:val="left"/>
      <w:pPr>
        <w:ind w:left="720" w:hanging="360"/>
      </w:pPr>
      <w:rPr>
        <w:rFonts w:ascii="Wingdings" w:hAnsi="Wingdings" w:hint="default"/>
      </w:rPr>
    </w:lvl>
    <w:lvl w:ilvl="1" w:tplc="C17C4274" w:tentative="1">
      <w:start w:val="1"/>
      <w:numFmt w:val="bullet"/>
      <w:lvlText w:val="o"/>
      <w:lvlJc w:val="left"/>
      <w:pPr>
        <w:ind w:left="1440" w:hanging="360"/>
      </w:pPr>
      <w:rPr>
        <w:rFonts w:ascii="Courier New" w:hAnsi="Courier New" w:cs="Courier New" w:hint="default"/>
      </w:rPr>
    </w:lvl>
    <w:lvl w:ilvl="2" w:tplc="EFB46A7A" w:tentative="1">
      <w:start w:val="1"/>
      <w:numFmt w:val="bullet"/>
      <w:lvlText w:val=""/>
      <w:lvlJc w:val="left"/>
      <w:pPr>
        <w:ind w:left="2160" w:hanging="360"/>
      </w:pPr>
      <w:rPr>
        <w:rFonts w:ascii="Wingdings" w:hAnsi="Wingdings" w:hint="default"/>
      </w:rPr>
    </w:lvl>
    <w:lvl w:ilvl="3" w:tplc="48AAF3DC" w:tentative="1">
      <w:start w:val="1"/>
      <w:numFmt w:val="bullet"/>
      <w:lvlText w:val=""/>
      <w:lvlJc w:val="left"/>
      <w:pPr>
        <w:ind w:left="2880" w:hanging="360"/>
      </w:pPr>
      <w:rPr>
        <w:rFonts w:ascii="Symbol" w:hAnsi="Symbol" w:hint="default"/>
      </w:rPr>
    </w:lvl>
    <w:lvl w:ilvl="4" w:tplc="D166EDFE" w:tentative="1">
      <w:start w:val="1"/>
      <w:numFmt w:val="bullet"/>
      <w:lvlText w:val="o"/>
      <w:lvlJc w:val="left"/>
      <w:pPr>
        <w:ind w:left="3600" w:hanging="360"/>
      </w:pPr>
      <w:rPr>
        <w:rFonts w:ascii="Courier New" w:hAnsi="Courier New" w:cs="Courier New" w:hint="default"/>
      </w:rPr>
    </w:lvl>
    <w:lvl w:ilvl="5" w:tplc="E7728222" w:tentative="1">
      <w:start w:val="1"/>
      <w:numFmt w:val="bullet"/>
      <w:lvlText w:val=""/>
      <w:lvlJc w:val="left"/>
      <w:pPr>
        <w:ind w:left="4320" w:hanging="360"/>
      </w:pPr>
      <w:rPr>
        <w:rFonts w:ascii="Wingdings" w:hAnsi="Wingdings" w:hint="default"/>
      </w:rPr>
    </w:lvl>
    <w:lvl w:ilvl="6" w:tplc="B88092CC" w:tentative="1">
      <w:start w:val="1"/>
      <w:numFmt w:val="bullet"/>
      <w:lvlText w:val=""/>
      <w:lvlJc w:val="left"/>
      <w:pPr>
        <w:ind w:left="5040" w:hanging="360"/>
      </w:pPr>
      <w:rPr>
        <w:rFonts w:ascii="Symbol" w:hAnsi="Symbol" w:hint="default"/>
      </w:rPr>
    </w:lvl>
    <w:lvl w:ilvl="7" w:tplc="0FC8EA5C" w:tentative="1">
      <w:start w:val="1"/>
      <w:numFmt w:val="bullet"/>
      <w:lvlText w:val="o"/>
      <w:lvlJc w:val="left"/>
      <w:pPr>
        <w:ind w:left="5760" w:hanging="360"/>
      </w:pPr>
      <w:rPr>
        <w:rFonts w:ascii="Courier New" w:hAnsi="Courier New" w:cs="Courier New" w:hint="default"/>
      </w:rPr>
    </w:lvl>
    <w:lvl w:ilvl="8" w:tplc="5A8C4782" w:tentative="1">
      <w:start w:val="1"/>
      <w:numFmt w:val="bullet"/>
      <w:lvlText w:val=""/>
      <w:lvlJc w:val="left"/>
      <w:pPr>
        <w:ind w:left="6480" w:hanging="360"/>
      </w:pPr>
      <w:rPr>
        <w:rFonts w:ascii="Wingdings" w:hAnsi="Wingdings" w:hint="default"/>
      </w:rPr>
    </w:lvl>
  </w:abstractNum>
  <w:abstractNum w:abstractNumId="2" w15:restartNumberingAfterBreak="0">
    <w:nsid w:val="26EA09CD"/>
    <w:multiLevelType w:val="hybridMultilevel"/>
    <w:tmpl w:val="411A048A"/>
    <w:lvl w:ilvl="0" w:tplc="346A4586">
      <w:start w:val="1"/>
      <w:numFmt w:val="bullet"/>
      <w:lvlText w:val=""/>
      <w:lvlJc w:val="left"/>
      <w:pPr>
        <w:ind w:left="360" w:hanging="360"/>
      </w:pPr>
      <w:rPr>
        <w:rFonts w:ascii="Wingdings" w:hAnsi="Wingdings" w:hint="default"/>
      </w:rPr>
    </w:lvl>
    <w:lvl w:ilvl="1" w:tplc="9E269360">
      <w:start w:val="1"/>
      <w:numFmt w:val="bullet"/>
      <w:lvlText w:val="o"/>
      <w:lvlJc w:val="left"/>
      <w:pPr>
        <w:ind w:left="1080" w:hanging="360"/>
      </w:pPr>
      <w:rPr>
        <w:rFonts w:ascii="Courier New" w:hAnsi="Courier New" w:cs="Courier New" w:hint="default"/>
      </w:rPr>
    </w:lvl>
    <w:lvl w:ilvl="2" w:tplc="40CAFD08" w:tentative="1">
      <w:start w:val="1"/>
      <w:numFmt w:val="bullet"/>
      <w:lvlText w:val=""/>
      <w:lvlJc w:val="left"/>
      <w:pPr>
        <w:ind w:left="1800" w:hanging="360"/>
      </w:pPr>
      <w:rPr>
        <w:rFonts w:ascii="Wingdings" w:hAnsi="Wingdings" w:hint="default"/>
      </w:rPr>
    </w:lvl>
    <w:lvl w:ilvl="3" w:tplc="AAB21926" w:tentative="1">
      <w:start w:val="1"/>
      <w:numFmt w:val="bullet"/>
      <w:lvlText w:val=""/>
      <w:lvlJc w:val="left"/>
      <w:pPr>
        <w:ind w:left="2520" w:hanging="360"/>
      </w:pPr>
      <w:rPr>
        <w:rFonts w:ascii="Symbol" w:hAnsi="Symbol" w:hint="default"/>
      </w:rPr>
    </w:lvl>
    <w:lvl w:ilvl="4" w:tplc="063A4EC8" w:tentative="1">
      <w:start w:val="1"/>
      <w:numFmt w:val="bullet"/>
      <w:lvlText w:val="o"/>
      <w:lvlJc w:val="left"/>
      <w:pPr>
        <w:ind w:left="3240" w:hanging="360"/>
      </w:pPr>
      <w:rPr>
        <w:rFonts w:ascii="Courier New" w:hAnsi="Courier New" w:cs="Courier New" w:hint="default"/>
      </w:rPr>
    </w:lvl>
    <w:lvl w:ilvl="5" w:tplc="9E080CC0" w:tentative="1">
      <w:start w:val="1"/>
      <w:numFmt w:val="bullet"/>
      <w:lvlText w:val=""/>
      <w:lvlJc w:val="left"/>
      <w:pPr>
        <w:ind w:left="3960" w:hanging="360"/>
      </w:pPr>
      <w:rPr>
        <w:rFonts w:ascii="Wingdings" w:hAnsi="Wingdings" w:hint="default"/>
      </w:rPr>
    </w:lvl>
    <w:lvl w:ilvl="6" w:tplc="856A9D26" w:tentative="1">
      <w:start w:val="1"/>
      <w:numFmt w:val="bullet"/>
      <w:lvlText w:val=""/>
      <w:lvlJc w:val="left"/>
      <w:pPr>
        <w:ind w:left="4680" w:hanging="360"/>
      </w:pPr>
      <w:rPr>
        <w:rFonts w:ascii="Symbol" w:hAnsi="Symbol" w:hint="default"/>
      </w:rPr>
    </w:lvl>
    <w:lvl w:ilvl="7" w:tplc="4CDE3F42" w:tentative="1">
      <w:start w:val="1"/>
      <w:numFmt w:val="bullet"/>
      <w:lvlText w:val="o"/>
      <w:lvlJc w:val="left"/>
      <w:pPr>
        <w:ind w:left="5400" w:hanging="360"/>
      </w:pPr>
      <w:rPr>
        <w:rFonts w:ascii="Courier New" w:hAnsi="Courier New" w:cs="Courier New" w:hint="default"/>
      </w:rPr>
    </w:lvl>
    <w:lvl w:ilvl="8" w:tplc="244259DC" w:tentative="1">
      <w:start w:val="1"/>
      <w:numFmt w:val="bullet"/>
      <w:lvlText w:val=""/>
      <w:lvlJc w:val="left"/>
      <w:pPr>
        <w:ind w:left="6120" w:hanging="360"/>
      </w:pPr>
      <w:rPr>
        <w:rFonts w:ascii="Wingdings" w:hAnsi="Wingdings" w:hint="default"/>
      </w:rPr>
    </w:lvl>
  </w:abstractNum>
  <w:abstractNum w:abstractNumId="3" w15:restartNumberingAfterBreak="0">
    <w:nsid w:val="2E971484"/>
    <w:multiLevelType w:val="hybridMultilevel"/>
    <w:tmpl w:val="70B666CC"/>
    <w:lvl w:ilvl="0" w:tplc="FEFEE212">
      <w:start w:val="1"/>
      <w:numFmt w:val="decimal"/>
      <w:lvlText w:val="%1."/>
      <w:lvlJc w:val="left"/>
      <w:pPr>
        <w:ind w:left="360" w:hanging="360"/>
      </w:pPr>
    </w:lvl>
    <w:lvl w:ilvl="1" w:tplc="4C1415E4" w:tentative="1">
      <w:start w:val="1"/>
      <w:numFmt w:val="lowerLetter"/>
      <w:lvlText w:val="%2."/>
      <w:lvlJc w:val="left"/>
      <w:pPr>
        <w:ind w:left="1080" w:hanging="360"/>
      </w:pPr>
    </w:lvl>
    <w:lvl w:ilvl="2" w:tplc="127A3184" w:tentative="1">
      <w:start w:val="1"/>
      <w:numFmt w:val="lowerRoman"/>
      <w:lvlText w:val="%3."/>
      <w:lvlJc w:val="right"/>
      <w:pPr>
        <w:ind w:left="1800" w:hanging="180"/>
      </w:pPr>
    </w:lvl>
    <w:lvl w:ilvl="3" w:tplc="FD52DBB4" w:tentative="1">
      <w:start w:val="1"/>
      <w:numFmt w:val="decimal"/>
      <w:lvlText w:val="%4."/>
      <w:lvlJc w:val="left"/>
      <w:pPr>
        <w:ind w:left="2520" w:hanging="360"/>
      </w:pPr>
    </w:lvl>
    <w:lvl w:ilvl="4" w:tplc="2626E06A" w:tentative="1">
      <w:start w:val="1"/>
      <w:numFmt w:val="lowerLetter"/>
      <w:lvlText w:val="%5."/>
      <w:lvlJc w:val="left"/>
      <w:pPr>
        <w:ind w:left="3240" w:hanging="360"/>
      </w:pPr>
    </w:lvl>
    <w:lvl w:ilvl="5" w:tplc="D0E8D606" w:tentative="1">
      <w:start w:val="1"/>
      <w:numFmt w:val="lowerRoman"/>
      <w:lvlText w:val="%6."/>
      <w:lvlJc w:val="right"/>
      <w:pPr>
        <w:ind w:left="3960" w:hanging="180"/>
      </w:pPr>
    </w:lvl>
    <w:lvl w:ilvl="6" w:tplc="1A8CF5D8" w:tentative="1">
      <w:start w:val="1"/>
      <w:numFmt w:val="decimal"/>
      <w:lvlText w:val="%7."/>
      <w:lvlJc w:val="left"/>
      <w:pPr>
        <w:ind w:left="4680" w:hanging="360"/>
      </w:pPr>
    </w:lvl>
    <w:lvl w:ilvl="7" w:tplc="FC169238" w:tentative="1">
      <w:start w:val="1"/>
      <w:numFmt w:val="lowerLetter"/>
      <w:lvlText w:val="%8."/>
      <w:lvlJc w:val="left"/>
      <w:pPr>
        <w:ind w:left="5400" w:hanging="360"/>
      </w:pPr>
    </w:lvl>
    <w:lvl w:ilvl="8" w:tplc="04C675BE" w:tentative="1">
      <w:start w:val="1"/>
      <w:numFmt w:val="lowerRoman"/>
      <w:lvlText w:val="%9."/>
      <w:lvlJc w:val="right"/>
      <w:pPr>
        <w:ind w:left="6120" w:hanging="180"/>
      </w:pPr>
    </w:lvl>
  </w:abstractNum>
  <w:abstractNum w:abstractNumId="4" w15:restartNumberingAfterBreak="0">
    <w:nsid w:val="32FE7E6C"/>
    <w:multiLevelType w:val="hybridMultilevel"/>
    <w:tmpl w:val="A38A78D0"/>
    <w:lvl w:ilvl="0" w:tplc="E35AA584">
      <w:start w:val="1"/>
      <w:numFmt w:val="decimal"/>
      <w:lvlText w:val="%1."/>
      <w:lvlJc w:val="left"/>
      <w:pPr>
        <w:ind w:left="360" w:hanging="360"/>
      </w:pPr>
      <w:rPr>
        <w:rFonts w:hint="default"/>
      </w:rPr>
    </w:lvl>
    <w:lvl w:ilvl="1" w:tplc="63682D0C" w:tentative="1">
      <w:start w:val="1"/>
      <w:numFmt w:val="bullet"/>
      <w:lvlText w:val="o"/>
      <w:lvlJc w:val="left"/>
      <w:pPr>
        <w:ind w:left="1080" w:hanging="360"/>
      </w:pPr>
      <w:rPr>
        <w:rFonts w:ascii="Courier New" w:hAnsi="Courier New" w:cs="Courier New" w:hint="default"/>
      </w:rPr>
    </w:lvl>
    <w:lvl w:ilvl="2" w:tplc="932EDCA4" w:tentative="1">
      <w:start w:val="1"/>
      <w:numFmt w:val="bullet"/>
      <w:lvlText w:val=""/>
      <w:lvlJc w:val="left"/>
      <w:pPr>
        <w:ind w:left="1800" w:hanging="360"/>
      </w:pPr>
      <w:rPr>
        <w:rFonts w:ascii="Wingdings" w:hAnsi="Wingdings" w:hint="default"/>
      </w:rPr>
    </w:lvl>
    <w:lvl w:ilvl="3" w:tplc="1730CBF4" w:tentative="1">
      <w:start w:val="1"/>
      <w:numFmt w:val="bullet"/>
      <w:lvlText w:val=""/>
      <w:lvlJc w:val="left"/>
      <w:pPr>
        <w:ind w:left="2520" w:hanging="360"/>
      </w:pPr>
      <w:rPr>
        <w:rFonts w:ascii="Symbol" w:hAnsi="Symbol" w:hint="default"/>
      </w:rPr>
    </w:lvl>
    <w:lvl w:ilvl="4" w:tplc="F918D8EA" w:tentative="1">
      <w:start w:val="1"/>
      <w:numFmt w:val="bullet"/>
      <w:lvlText w:val="o"/>
      <w:lvlJc w:val="left"/>
      <w:pPr>
        <w:ind w:left="3240" w:hanging="360"/>
      </w:pPr>
      <w:rPr>
        <w:rFonts w:ascii="Courier New" w:hAnsi="Courier New" w:cs="Courier New" w:hint="default"/>
      </w:rPr>
    </w:lvl>
    <w:lvl w:ilvl="5" w:tplc="23D647EC" w:tentative="1">
      <w:start w:val="1"/>
      <w:numFmt w:val="bullet"/>
      <w:lvlText w:val=""/>
      <w:lvlJc w:val="left"/>
      <w:pPr>
        <w:ind w:left="3960" w:hanging="360"/>
      </w:pPr>
      <w:rPr>
        <w:rFonts w:ascii="Wingdings" w:hAnsi="Wingdings" w:hint="default"/>
      </w:rPr>
    </w:lvl>
    <w:lvl w:ilvl="6" w:tplc="956CCD44" w:tentative="1">
      <w:start w:val="1"/>
      <w:numFmt w:val="bullet"/>
      <w:lvlText w:val=""/>
      <w:lvlJc w:val="left"/>
      <w:pPr>
        <w:ind w:left="4680" w:hanging="360"/>
      </w:pPr>
      <w:rPr>
        <w:rFonts w:ascii="Symbol" w:hAnsi="Symbol" w:hint="default"/>
      </w:rPr>
    </w:lvl>
    <w:lvl w:ilvl="7" w:tplc="5B8A2E24" w:tentative="1">
      <w:start w:val="1"/>
      <w:numFmt w:val="bullet"/>
      <w:lvlText w:val="o"/>
      <w:lvlJc w:val="left"/>
      <w:pPr>
        <w:ind w:left="5400" w:hanging="360"/>
      </w:pPr>
      <w:rPr>
        <w:rFonts w:ascii="Courier New" w:hAnsi="Courier New" w:cs="Courier New" w:hint="default"/>
      </w:rPr>
    </w:lvl>
    <w:lvl w:ilvl="8" w:tplc="924CFB6A" w:tentative="1">
      <w:start w:val="1"/>
      <w:numFmt w:val="bullet"/>
      <w:lvlText w:val=""/>
      <w:lvlJc w:val="left"/>
      <w:pPr>
        <w:ind w:left="6120" w:hanging="360"/>
      </w:pPr>
      <w:rPr>
        <w:rFonts w:ascii="Wingdings" w:hAnsi="Wingdings" w:hint="default"/>
      </w:rPr>
    </w:lvl>
  </w:abstractNum>
  <w:abstractNum w:abstractNumId="5" w15:restartNumberingAfterBreak="0">
    <w:nsid w:val="33D776BC"/>
    <w:multiLevelType w:val="hybridMultilevel"/>
    <w:tmpl w:val="A1CA33B2"/>
    <w:lvl w:ilvl="0" w:tplc="58647C9E">
      <w:start w:val="1"/>
      <w:numFmt w:val="bullet"/>
      <w:lvlText w:val=""/>
      <w:lvlJc w:val="left"/>
      <w:pPr>
        <w:ind w:left="720" w:hanging="360"/>
      </w:pPr>
      <w:rPr>
        <w:rFonts w:ascii="Wingdings" w:hAnsi="Wingdings" w:hint="default"/>
      </w:rPr>
    </w:lvl>
    <w:lvl w:ilvl="1" w:tplc="3C249A6C" w:tentative="1">
      <w:start w:val="1"/>
      <w:numFmt w:val="bullet"/>
      <w:lvlText w:val="o"/>
      <w:lvlJc w:val="left"/>
      <w:pPr>
        <w:ind w:left="1440" w:hanging="360"/>
      </w:pPr>
      <w:rPr>
        <w:rFonts w:ascii="Courier New" w:hAnsi="Courier New" w:cs="Courier New" w:hint="default"/>
      </w:rPr>
    </w:lvl>
    <w:lvl w:ilvl="2" w:tplc="BCACBDF2" w:tentative="1">
      <w:start w:val="1"/>
      <w:numFmt w:val="bullet"/>
      <w:lvlText w:val=""/>
      <w:lvlJc w:val="left"/>
      <w:pPr>
        <w:ind w:left="2160" w:hanging="360"/>
      </w:pPr>
      <w:rPr>
        <w:rFonts w:ascii="Wingdings" w:hAnsi="Wingdings" w:hint="default"/>
      </w:rPr>
    </w:lvl>
    <w:lvl w:ilvl="3" w:tplc="A662A73C" w:tentative="1">
      <w:start w:val="1"/>
      <w:numFmt w:val="bullet"/>
      <w:lvlText w:val=""/>
      <w:lvlJc w:val="left"/>
      <w:pPr>
        <w:ind w:left="2880" w:hanging="360"/>
      </w:pPr>
      <w:rPr>
        <w:rFonts w:ascii="Symbol" w:hAnsi="Symbol" w:hint="default"/>
      </w:rPr>
    </w:lvl>
    <w:lvl w:ilvl="4" w:tplc="1A8E2962" w:tentative="1">
      <w:start w:val="1"/>
      <w:numFmt w:val="bullet"/>
      <w:lvlText w:val="o"/>
      <w:lvlJc w:val="left"/>
      <w:pPr>
        <w:ind w:left="3600" w:hanging="360"/>
      </w:pPr>
      <w:rPr>
        <w:rFonts w:ascii="Courier New" w:hAnsi="Courier New" w:cs="Courier New" w:hint="default"/>
      </w:rPr>
    </w:lvl>
    <w:lvl w:ilvl="5" w:tplc="0374B7BC" w:tentative="1">
      <w:start w:val="1"/>
      <w:numFmt w:val="bullet"/>
      <w:lvlText w:val=""/>
      <w:lvlJc w:val="left"/>
      <w:pPr>
        <w:ind w:left="4320" w:hanging="360"/>
      </w:pPr>
      <w:rPr>
        <w:rFonts w:ascii="Wingdings" w:hAnsi="Wingdings" w:hint="default"/>
      </w:rPr>
    </w:lvl>
    <w:lvl w:ilvl="6" w:tplc="5D445C42" w:tentative="1">
      <w:start w:val="1"/>
      <w:numFmt w:val="bullet"/>
      <w:lvlText w:val=""/>
      <w:lvlJc w:val="left"/>
      <w:pPr>
        <w:ind w:left="5040" w:hanging="360"/>
      </w:pPr>
      <w:rPr>
        <w:rFonts w:ascii="Symbol" w:hAnsi="Symbol" w:hint="default"/>
      </w:rPr>
    </w:lvl>
    <w:lvl w:ilvl="7" w:tplc="CFE64D1E" w:tentative="1">
      <w:start w:val="1"/>
      <w:numFmt w:val="bullet"/>
      <w:lvlText w:val="o"/>
      <w:lvlJc w:val="left"/>
      <w:pPr>
        <w:ind w:left="5760" w:hanging="360"/>
      </w:pPr>
      <w:rPr>
        <w:rFonts w:ascii="Courier New" w:hAnsi="Courier New" w:cs="Courier New" w:hint="default"/>
      </w:rPr>
    </w:lvl>
    <w:lvl w:ilvl="8" w:tplc="E702DE02" w:tentative="1">
      <w:start w:val="1"/>
      <w:numFmt w:val="bullet"/>
      <w:lvlText w:val=""/>
      <w:lvlJc w:val="left"/>
      <w:pPr>
        <w:ind w:left="6480" w:hanging="360"/>
      </w:pPr>
      <w:rPr>
        <w:rFonts w:ascii="Wingdings" w:hAnsi="Wingdings" w:hint="default"/>
      </w:rPr>
    </w:lvl>
  </w:abstractNum>
  <w:abstractNum w:abstractNumId="6" w15:restartNumberingAfterBreak="0">
    <w:nsid w:val="38223DC5"/>
    <w:multiLevelType w:val="hybridMultilevel"/>
    <w:tmpl w:val="3BB8539E"/>
    <w:lvl w:ilvl="0" w:tplc="7FB6FF02">
      <w:start w:val="1"/>
      <w:numFmt w:val="bullet"/>
      <w:lvlText w:val=""/>
      <w:lvlJc w:val="left"/>
      <w:pPr>
        <w:ind w:left="360" w:hanging="360"/>
      </w:pPr>
      <w:rPr>
        <w:rFonts w:ascii="Wingdings" w:hAnsi="Wingdings" w:hint="default"/>
      </w:rPr>
    </w:lvl>
    <w:lvl w:ilvl="1" w:tplc="B784D1CE" w:tentative="1">
      <w:start w:val="1"/>
      <w:numFmt w:val="bullet"/>
      <w:lvlText w:val="o"/>
      <w:lvlJc w:val="left"/>
      <w:pPr>
        <w:ind w:left="1080" w:hanging="360"/>
      </w:pPr>
      <w:rPr>
        <w:rFonts w:ascii="Courier New" w:hAnsi="Courier New" w:cs="Courier New" w:hint="default"/>
      </w:rPr>
    </w:lvl>
    <w:lvl w:ilvl="2" w:tplc="58AE5C86" w:tentative="1">
      <w:start w:val="1"/>
      <w:numFmt w:val="bullet"/>
      <w:lvlText w:val=""/>
      <w:lvlJc w:val="left"/>
      <w:pPr>
        <w:ind w:left="1800" w:hanging="360"/>
      </w:pPr>
      <w:rPr>
        <w:rFonts w:ascii="Wingdings" w:hAnsi="Wingdings" w:hint="default"/>
      </w:rPr>
    </w:lvl>
    <w:lvl w:ilvl="3" w:tplc="FBCC50DC" w:tentative="1">
      <w:start w:val="1"/>
      <w:numFmt w:val="bullet"/>
      <w:lvlText w:val=""/>
      <w:lvlJc w:val="left"/>
      <w:pPr>
        <w:ind w:left="2520" w:hanging="360"/>
      </w:pPr>
      <w:rPr>
        <w:rFonts w:ascii="Symbol" w:hAnsi="Symbol" w:hint="default"/>
      </w:rPr>
    </w:lvl>
    <w:lvl w:ilvl="4" w:tplc="66924430" w:tentative="1">
      <w:start w:val="1"/>
      <w:numFmt w:val="bullet"/>
      <w:lvlText w:val="o"/>
      <w:lvlJc w:val="left"/>
      <w:pPr>
        <w:ind w:left="3240" w:hanging="360"/>
      </w:pPr>
      <w:rPr>
        <w:rFonts w:ascii="Courier New" w:hAnsi="Courier New" w:cs="Courier New" w:hint="default"/>
      </w:rPr>
    </w:lvl>
    <w:lvl w:ilvl="5" w:tplc="68281C00" w:tentative="1">
      <w:start w:val="1"/>
      <w:numFmt w:val="bullet"/>
      <w:lvlText w:val=""/>
      <w:lvlJc w:val="left"/>
      <w:pPr>
        <w:ind w:left="3960" w:hanging="360"/>
      </w:pPr>
      <w:rPr>
        <w:rFonts w:ascii="Wingdings" w:hAnsi="Wingdings" w:hint="default"/>
      </w:rPr>
    </w:lvl>
    <w:lvl w:ilvl="6" w:tplc="A118817C" w:tentative="1">
      <w:start w:val="1"/>
      <w:numFmt w:val="bullet"/>
      <w:lvlText w:val=""/>
      <w:lvlJc w:val="left"/>
      <w:pPr>
        <w:ind w:left="4680" w:hanging="360"/>
      </w:pPr>
      <w:rPr>
        <w:rFonts w:ascii="Symbol" w:hAnsi="Symbol" w:hint="default"/>
      </w:rPr>
    </w:lvl>
    <w:lvl w:ilvl="7" w:tplc="049E948E" w:tentative="1">
      <w:start w:val="1"/>
      <w:numFmt w:val="bullet"/>
      <w:lvlText w:val="o"/>
      <w:lvlJc w:val="left"/>
      <w:pPr>
        <w:ind w:left="5400" w:hanging="360"/>
      </w:pPr>
      <w:rPr>
        <w:rFonts w:ascii="Courier New" w:hAnsi="Courier New" w:cs="Courier New" w:hint="default"/>
      </w:rPr>
    </w:lvl>
    <w:lvl w:ilvl="8" w:tplc="70641E90" w:tentative="1">
      <w:start w:val="1"/>
      <w:numFmt w:val="bullet"/>
      <w:lvlText w:val=""/>
      <w:lvlJc w:val="left"/>
      <w:pPr>
        <w:ind w:left="6120" w:hanging="360"/>
      </w:pPr>
      <w:rPr>
        <w:rFonts w:ascii="Wingdings" w:hAnsi="Wingdings" w:hint="default"/>
      </w:rPr>
    </w:lvl>
  </w:abstractNum>
  <w:abstractNum w:abstractNumId="7" w15:restartNumberingAfterBreak="0">
    <w:nsid w:val="41D544F2"/>
    <w:multiLevelType w:val="hybridMultilevel"/>
    <w:tmpl w:val="6910FF44"/>
    <w:lvl w:ilvl="0" w:tplc="AF8C2AD2">
      <w:start w:val="1"/>
      <w:numFmt w:val="bullet"/>
      <w:lvlText w:val=""/>
      <w:lvlJc w:val="left"/>
      <w:pPr>
        <w:ind w:left="360" w:hanging="360"/>
      </w:pPr>
      <w:rPr>
        <w:rFonts w:ascii="Wingdings" w:hAnsi="Wingdings" w:hint="default"/>
      </w:rPr>
    </w:lvl>
    <w:lvl w:ilvl="1" w:tplc="101C473A" w:tentative="1">
      <w:start w:val="1"/>
      <w:numFmt w:val="bullet"/>
      <w:lvlText w:val="o"/>
      <w:lvlJc w:val="left"/>
      <w:pPr>
        <w:ind w:left="1080" w:hanging="360"/>
      </w:pPr>
      <w:rPr>
        <w:rFonts w:ascii="Courier New" w:hAnsi="Courier New" w:cs="Courier New" w:hint="default"/>
      </w:rPr>
    </w:lvl>
    <w:lvl w:ilvl="2" w:tplc="075CBBBA" w:tentative="1">
      <w:start w:val="1"/>
      <w:numFmt w:val="bullet"/>
      <w:lvlText w:val=""/>
      <w:lvlJc w:val="left"/>
      <w:pPr>
        <w:ind w:left="1800" w:hanging="360"/>
      </w:pPr>
      <w:rPr>
        <w:rFonts w:ascii="Wingdings" w:hAnsi="Wingdings" w:hint="default"/>
      </w:rPr>
    </w:lvl>
    <w:lvl w:ilvl="3" w:tplc="6E62352C" w:tentative="1">
      <w:start w:val="1"/>
      <w:numFmt w:val="bullet"/>
      <w:lvlText w:val=""/>
      <w:lvlJc w:val="left"/>
      <w:pPr>
        <w:ind w:left="2520" w:hanging="360"/>
      </w:pPr>
      <w:rPr>
        <w:rFonts w:ascii="Symbol" w:hAnsi="Symbol" w:hint="default"/>
      </w:rPr>
    </w:lvl>
    <w:lvl w:ilvl="4" w:tplc="5E4CF7E8" w:tentative="1">
      <w:start w:val="1"/>
      <w:numFmt w:val="bullet"/>
      <w:lvlText w:val="o"/>
      <w:lvlJc w:val="left"/>
      <w:pPr>
        <w:ind w:left="3240" w:hanging="360"/>
      </w:pPr>
      <w:rPr>
        <w:rFonts w:ascii="Courier New" w:hAnsi="Courier New" w:cs="Courier New" w:hint="default"/>
      </w:rPr>
    </w:lvl>
    <w:lvl w:ilvl="5" w:tplc="0A523E1C" w:tentative="1">
      <w:start w:val="1"/>
      <w:numFmt w:val="bullet"/>
      <w:lvlText w:val=""/>
      <w:lvlJc w:val="left"/>
      <w:pPr>
        <w:ind w:left="3960" w:hanging="360"/>
      </w:pPr>
      <w:rPr>
        <w:rFonts w:ascii="Wingdings" w:hAnsi="Wingdings" w:hint="default"/>
      </w:rPr>
    </w:lvl>
    <w:lvl w:ilvl="6" w:tplc="07BE4CE8" w:tentative="1">
      <w:start w:val="1"/>
      <w:numFmt w:val="bullet"/>
      <w:lvlText w:val=""/>
      <w:lvlJc w:val="left"/>
      <w:pPr>
        <w:ind w:left="4680" w:hanging="360"/>
      </w:pPr>
      <w:rPr>
        <w:rFonts w:ascii="Symbol" w:hAnsi="Symbol" w:hint="default"/>
      </w:rPr>
    </w:lvl>
    <w:lvl w:ilvl="7" w:tplc="C226DB88" w:tentative="1">
      <w:start w:val="1"/>
      <w:numFmt w:val="bullet"/>
      <w:lvlText w:val="o"/>
      <w:lvlJc w:val="left"/>
      <w:pPr>
        <w:ind w:left="5400" w:hanging="360"/>
      </w:pPr>
      <w:rPr>
        <w:rFonts w:ascii="Courier New" w:hAnsi="Courier New" w:cs="Courier New" w:hint="default"/>
      </w:rPr>
    </w:lvl>
    <w:lvl w:ilvl="8" w:tplc="AAEA6FD8" w:tentative="1">
      <w:start w:val="1"/>
      <w:numFmt w:val="bullet"/>
      <w:lvlText w:val=""/>
      <w:lvlJc w:val="left"/>
      <w:pPr>
        <w:ind w:left="6120" w:hanging="360"/>
      </w:pPr>
      <w:rPr>
        <w:rFonts w:ascii="Wingdings" w:hAnsi="Wingdings" w:hint="default"/>
      </w:rPr>
    </w:lvl>
  </w:abstractNum>
  <w:abstractNum w:abstractNumId="8" w15:restartNumberingAfterBreak="0">
    <w:nsid w:val="42190DAA"/>
    <w:multiLevelType w:val="hybridMultilevel"/>
    <w:tmpl w:val="235A83DE"/>
    <w:lvl w:ilvl="0" w:tplc="ECDEC8B6">
      <w:start w:val="1"/>
      <w:numFmt w:val="bullet"/>
      <w:lvlText w:val=""/>
      <w:lvlJc w:val="left"/>
      <w:pPr>
        <w:ind w:left="360" w:hanging="360"/>
      </w:pPr>
      <w:rPr>
        <w:rFonts w:ascii="Wingdings" w:hAnsi="Wingdings" w:hint="default"/>
      </w:rPr>
    </w:lvl>
    <w:lvl w:ilvl="1" w:tplc="8FB24312" w:tentative="1">
      <w:start w:val="1"/>
      <w:numFmt w:val="bullet"/>
      <w:lvlText w:val="o"/>
      <w:lvlJc w:val="left"/>
      <w:pPr>
        <w:ind w:left="1080" w:hanging="360"/>
      </w:pPr>
      <w:rPr>
        <w:rFonts w:ascii="Courier New" w:hAnsi="Courier New" w:cs="Courier New" w:hint="default"/>
      </w:rPr>
    </w:lvl>
    <w:lvl w:ilvl="2" w:tplc="96D04940" w:tentative="1">
      <w:start w:val="1"/>
      <w:numFmt w:val="bullet"/>
      <w:lvlText w:val=""/>
      <w:lvlJc w:val="left"/>
      <w:pPr>
        <w:ind w:left="1800" w:hanging="360"/>
      </w:pPr>
      <w:rPr>
        <w:rFonts w:ascii="Wingdings" w:hAnsi="Wingdings" w:hint="default"/>
      </w:rPr>
    </w:lvl>
    <w:lvl w:ilvl="3" w:tplc="922AE960" w:tentative="1">
      <w:start w:val="1"/>
      <w:numFmt w:val="bullet"/>
      <w:lvlText w:val=""/>
      <w:lvlJc w:val="left"/>
      <w:pPr>
        <w:ind w:left="2520" w:hanging="360"/>
      </w:pPr>
      <w:rPr>
        <w:rFonts w:ascii="Symbol" w:hAnsi="Symbol" w:hint="default"/>
      </w:rPr>
    </w:lvl>
    <w:lvl w:ilvl="4" w:tplc="B64616E2" w:tentative="1">
      <w:start w:val="1"/>
      <w:numFmt w:val="bullet"/>
      <w:lvlText w:val="o"/>
      <w:lvlJc w:val="left"/>
      <w:pPr>
        <w:ind w:left="3240" w:hanging="360"/>
      </w:pPr>
      <w:rPr>
        <w:rFonts w:ascii="Courier New" w:hAnsi="Courier New" w:cs="Courier New" w:hint="default"/>
      </w:rPr>
    </w:lvl>
    <w:lvl w:ilvl="5" w:tplc="59544FD4" w:tentative="1">
      <w:start w:val="1"/>
      <w:numFmt w:val="bullet"/>
      <w:lvlText w:val=""/>
      <w:lvlJc w:val="left"/>
      <w:pPr>
        <w:ind w:left="3960" w:hanging="360"/>
      </w:pPr>
      <w:rPr>
        <w:rFonts w:ascii="Wingdings" w:hAnsi="Wingdings" w:hint="default"/>
      </w:rPr>
    </w:lvl>
    <w:lvl w:ilvl="6" w:tplc="F9D2A1C6" w:tentative="1">
      <w:start w:val="1"/>
      <w:numFmt w:val="bullet"/>
      <w:lvlText w:val=""/>
      <w:lvlJc w:val="left"/>
      <w:pPr>
        <w:ind w:left="4680" w:hanging="360"/>
      </w:pPr>
      <w:rPr>
        <w:rFonts w:ascii="Symbol" w:hAnsi="Symbol" w:hint="default"/>
      </w:rPr>
    </w:lvl>
    <w:lvl w:ilvl="7" w:tplc="D21C19B2" w:tentative="1">
      <w:start w:val="1"/>
      <w:numFmt w:val="bullet"/>
      <w:lvlText w:val="o"/>
      <w:lvlJc w:val="left"/>
      <w:pPr>
        <w:ind w:left="5400" w:hanging="360"/>
      </w:pPr>
      <w:rPr>
        <w:rFonts w:ascii="Courier New" w:hAnsi="Courier New" w:cs="Courier New" w:hint="default"/>
      </w:rPr>
    </w:lvl>
    <w:lvl w:ilvl="8" w:tplc="27BCC1C6" w:tentative="1">
      <w:start w:val="1"/>
      <w:numFmt w:val="bullet"/>
      <w:lvlText w:val=""/>
      <w:lvlJc w:val="left"/>
      <w:pPr>
        <w:ind w:left="6120" w:hanging="360"/>
      </w:pPr>
      <w:rPr>
        <w:rFonts w:ascii="Wingdings" w:hAnsi="Wingdings" w:hint="default"/>
      </w:rPr>
    </w:lvl>
  </w:abstractNum>
  <w:abstractNum w:abstractNumId="9" w15:restartNumberingAfterBreak="0">
    <w:nsid w:val="7E420521"/>
    <w:multiLevelType w:val="hybridMultilevel"/>
    <w:tmpl w:val="F516E2CA"/>
    <w:lvl w:ilvl="0" w:tplc="3268419C">
      <w:start w:val="1"/>
      <w:numFmt w:val="bullet"/>
      <w:lvlText w:val=""/>
      <w:lvlJc w:val="left"/>
      <w:pPr>
        <w:ind w:left="720" w:hanging="360"/>
      </w:pPr>
      <w:rPr>
        <w:rFonts w:ascii="Wingdings" w:hAnsi="Wingdings" w:hint="default"/>
      </w:rPr>
    </w:lvl>
    <w:lvl w:ilvl="1" w:tplc="8B3A9BB6">
      <w:start w:val="1"/>
      <w:numFmt w:val="lowerLetter"/>
      <w:lvlText w:val="%2."/>
      <w:lvlJc w:val="left"/>
      <w:pPr>
        <w:ind w:left="1440" w:hanging="360"/>
      </w:pPr>
    </w:lvl>
    <w:lvl w:ilvl="2" w:tplc="0DB8BB2A" w:tentative="1">
      <w:start w:val="1"/>
      <w:numFmt w:val="lowerRoman"/>
      <w:lvlText w:val="%3."/>
      <w:lvlJc w:val="right"/>
      <w:pPr>
        <w:ind w:left="2160" w:hanging="180"/>
      </w:pPr>
    </w:lvl>
    <w:lvl w:ilvl="3" w:tplc="EF342FA4" w:tentative="1">
      <w:start w:val="1"/>
      <w:numFmt w:val="decimal"/>
      <w:lvlText w:val="%4."/>
      <w:lvlJc w:val="left"/>
      <w:pPr>
        <w:ind w:left="2880" w:hanging="360"/>
      </w:pPr>
    </w:lvl>
    <w:lvl w:ilvl="4" w:tplc="2C8EA31A" w:tentative="1">
      <w:start w:val="1"/>
      <w:numFmt w:val="lowerLetter"/>
      <w:lvlText w:val="%5."/>
      <w:lvlJc w:val="left"/>
      <w:pPr>
        <w:ind w:left="3600" w:hanging="360"/>
      </w:pPr>
    </w:lvl>
    <w:lvl w:ilvl="5" w:tplc="CDACE61C" w:tentative="1">
      <w:start w:val="1"/>
      <w:numFmt w:val="lowerRoman"/>
      <w:lvlText w:val="%6."/>
      <w:lvlJc w:val="right"/>
      <w:pPr>
        <w:ind w:left="4320" w:hanging="180"/>
      </w:pPr>
    </w:lvl>
    <w:lvl w:ilvl="6" w:tplc="747E932A" w:tentative="1">
      <w:start w:val="1"/>
      <w:numFmt w:val="decimal"/>
      <w:lvlText w:val="%7."/>
      <w:lvlJc w:val="left"/>
      <w:pPr>
        <w:ind w:left="5040" w:hanging="360"/>
      </w:pPr>
    </w:lvl>
    <w:lvl w:ilvl="7" w:tplc="59104012" w:tentative="1">
      <w:start w:val="1"/>
      <w:numFmt w:val="lowerLetter"/>
      <w:lvlText w:val="%8."/>
      <w:lvlJc w:val="left"/>
      <w:pPr>
        <w:ind w:left="5760" w:hanging="360"/>
      </w:pPr>
    </w:lvl>
    <w:lvl w:ilvl="8" w:tplc="62140BAE"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9"/>
  </w:num>
  <w:num w:numId="5">
    <w:abstractNumId w:val="0"/>
  </w:num>
  <w:num w:numId="6">
    <w:abstractNumId w:val="2"/>
  </w:num>
  <w:num w:numId="7">
    <w:abstractNumId w:val="8"/>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5F"/>
    <w:rsid w:val="00745EFD"/>
    <w:rsid w:val="009B02D4"/>
    <w:rsid w:val="00B00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F70C"/>
  <w15:docId w15:val="{47B8C5D2-A341-49B3-8E01-7A48B667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F98"/>
    <w:pPr>
      <w:spacing w:after="5" w:line="249" w:lineRule="auto"/>
      <w:ind w:left="542" w:hanging="542"/>
    </w:pPr>
    <w:rPr>
      <w:rFonts w:ascii="Arial" w:eastAsia="Calibri" w:hAnsi="Arial" w:cs="Arial"/>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3D5F"/>
    <w:pPr>
      <w:spacing w:after="0" w:line="240" w:lineRule="auto"/>
    </w:pPr>
  </w:style>
  <w:style w:type="paragraph" w:styleId="BalloonText">
    <w:name w:val="Balloon Text"/>
    <w:basedOn w:val="Normal"/>
    <w:link w:val="BalloonTextChar"/>
    <w:uiPriority w:val="99"/>
    <w:semiHidden/>
    <w:unhideWhenUsed/>
    <w:rsid w:val="009B0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2D4"/>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Parkinson, Anne-Marie (LEP)</dc:creator>
  <cp:lastModifiedBy>Milroy, Andy</cp:lastModifiedBy>
  <cp:revision>6</cp:revision>
  <dcterms:created xsi:type="dcterms:W3CDTF">2020-09-11T09:20:00Z</dcterms:created>
  <dcterms:modified xsi:type="dcterms:W3CDTF">2020-09-23T11:38:00Z</dcterms:modified>
</cp:coreProperties>
</file>